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A0034">
      <w:pPr>
        <w:spacing w:line="360" w:lineRule="auto"/>
        <w:jc w:val="center"/>
        <w:rPr>
          <w:rFonts w:hint="eastAsia"/>
          <w:b/>
          <w:bCs/>
          <w:sz w:val="52"/>
          <w:szCs w:val="52"/>
          <w:highlight w:val="none"/>
        </w:rPr>
      </w:pPr>
    </w:p>
    <w:p w14:paraId="3AF6960B">
      <w:pPr>
        <w:spacing w:line="360" w:lineRule="auto"/>
        <w:jc w:val="center"/>
        <w:rPr>
          <w:rFonts w:hint="eastAsia"/>
          <w:b/>
          <w:bCs/>
          <w:sz w:val="52"/>
          <w:szCs w:val="52"/>
          <w:highlight w:val="none"/>
        </w:rPr>
      </w:pPr>
    </w:p>
    <w:p w14:paraId="20E704F5">
      <w:pPr>
        <w:spacing w:line="360" w:lineRule="auto"/>
        <w:rPr>
          <w:rFonts w:hint="eastAsia"/>
          <w:b/>
          <w:bCs/>
          <w:sz w:val="32"/>
          <w:szCs w:val="32"/>
          <w:highlight w:val="none"/>
        </w:rPr>
      </w:pPr>
    </w:p>
    <w:p w14:paraId="59B5E020">
      <w:pPr>
        <w:spacing w:line="360" w:lineRule="auto"/>
        <w:rPr>
          <w:rFonts w:hint="eastAsia"/>
          <w:b/>
          <w:bCs/>
          <w:spacing w:val="-14"/>
          <w:sz w:val="32"/>
          <w:szCs w:val="32"/>
          <w:highlight w:val="none"/>
        </w:rPr>
      </w:pPr>
    </w:p>
    <w:p w14:paraId="31642383">
      <w:pPr>
        <w:spacing w:line="360" w:lineRule="auto"/>
        <w:jc w:val="center"/>
        <w:outlineLvl w:val="0"/>
        <w:rPr>
          <w:rFonts w:hint="eastAsia" w:eastAsia="宋体"/>
          <w:b/>
          <w:bCs/>
          <w:spacing w:val="-14"/>
          <w:sz w:val="30"/>
          <w:szCs w:val="30"/>
          <w:highlight w:val="none"/>
          <w:lang w:eastAsia="zh-CN"/>
        </w:rPr>
      </w:pPr>
      <w:r>
        <w:rPr>
          <w:rFonts w:hint="eastAsia"/>
          <w:b/>
          <w:bCs/>
          <w:spacing w:val="-14"/>
          <w:sz w:val="30"/>
          <w:szCs w:val="30"/>
          <w:highlight w:val="none"/>
          <w:lang w:eastAsia="zh-CN"/>
        </w:rPr>
        <w:t>“十五五”建设用地减量化及一般耕地复垦实施方案</w:t>
      </w:r>
    </w:p>
    <w:p w14:paraId="69B3240A">
      <w:pPr>
        <w:spacing w:line="360" w:lineRule="auto"/>
        <w:jc w:val="center"/>
        <w:outlineLvl w:val="0"/>
        <w:rPr>
          <w:rFonts w:hint="eastAsia"/>
          <w:b/>
          <w:bCs/>
          <w:sz w:val="32"/>
          <w:szCs w:val="32"/>
          <w:highlight w:val="none"/>
        </w:rPr>
      </w:pPr>
      <w:bookmarkStart w:id="0" w:name="_Toc21741"/>
      <w:r>
        <w:rPr>
          <w:rFonts w:hint="eastAsia"/>
          <w:b/>
          <w:bCs/>
          <w:sz w:val="32"/>
          <w:szCs w:val="32"/>
          <w:highlight w:val="none"/>
        </w:rPr>
        <w:t>竞争性磋商文件</w:t>
      </w:r>
      <w:bookmarkEnd w:id="0"/>
    </w:p>
    <w:p w14:paraId="187A9077">
      <w:pPr>
        <w:spacing w:line="360" w:lineRule="auto"/>
        <w:jc w:val="center"/>
        <w:outlineLvl w:val="0"/>
        <w:rPr>
          <w:rFonts w:hint="eastAsia"/>
          <w:b/>
          <w:bCs/>
          <w:highlight w:val="none"/>
        </w:rPr>
      </w:pPr>
      <w:bookmarkStart w:id="1" w:name="_Toc2302"/>
      <w:r>
        <w:rPr>
          <w:rFonts w:hint="eastAsia"/>
          <w:b/>
          <w:bCs/>
          <w:highlight w:val="none"/>
        </w:rPr>
        <w:t>（项目编号：</w:t>
      </w:r>
      <w:r>
        <w:rPr>
          <w:rFonts w:hint="eastAsia"/>
          <w:b/>
          <w:bCs/>
          <w:highlight w:val="none"/>
          <w:lang w:eastAsia="zh-CN"/>
        </w:rPr>
        <w:t>ZC-05-26036</w:t>
      </w:r>
      <w:r>
        <w:rPr>
          <w:rFonts w:hint="eastAsia"/>
          <w:b/>
          <w:bCs/>
          <w:highlight w:val="none"/>
        </w:rPr>
        <w:t>）</w:t>
      </w:r>
      <w:bookmarkEnd w:id="1"/>
    </w:p>
    <w:p w14:paraId="3104F03C">
      <w:pPr>
        <w:spacing w:line="360" w:lineRule="auto"/>
        <w:rPr>
          <w:rFonts w:hint="eastAsia"/>
          <w:highlight w:val="none"/>
        </w:rPr>
      </w:pPr>
    </w:p>
    <w:p w14:paraId="258100D2">
      <w:pPr>
        <w:spacing w:line="360" w:lineRule="auto"/>
        <w:rPr>
          <w:rFonts w:hint="eastAsia"/>
          <w:highlight w:val="none"/>
        </w:rPr>
      </w:pPr>
    </w:p>
    <w:p w14:paraId="610935A7">
      <w:pPr>
        <w:spacing w:line="360" w:lineRule="auto"/>
        <w:rPr>
          <w:rFonts w:hint="eastAsia"/>
          <w:highlight w:val="none"/>
        </w:rPr>
      </w:pPr>
    </w:p>
    <w:p w14:paraId="395C3ECE">
      <w:pPr>
        <w:spacing w:line="360" w:lineRule="auto"/>
        <w:rPr>
          <w:rFonts w:hint="eastAsia"/>
          <w:highlight w:val="none"/>
        </w:rPr>
      </w:pPr>
    </w:p>
    <w:p w14:paraId="22E23756">
      <w:pPr>
        <w:spacing w:line="360" w:lineRule="auto"/>
        <w:rPr>
          <w:rFonts w:hint="eastAsia"/>
          <w:highlight w:val="none"/>
        </w:rPr>
      </w:pPr>
    </w:p>
    <w:p w14:paraId="5B719131">
      <w:pPr>
        <w:spacing w:line="360" w:lineRule="auto"/>
        <w:rPr>
          <w:rFonts w:hint="eastAsia"/>
          <w:highlight w:val="none"/>
        </w:rPr>
      </w:pPr>
    </w:p>
    <w:p w14:paraId="2EDBF26C">
      <w:pPr>
        <w:spacing w:line="360" w:lineRule="auto"/>
        <w:rPr>
          <w:rFonts w:hint="eastAsia"/>
          <w:highlight w:val="none"/>
        </w:rPr>
      </w:pPr>
    </w:p>
    <w:p w14:paraId="46EFE91C">
      <w:pPr>
        <w:spacing w:line="360" w:lineRule="auto"/>
        <w:rPr>
          <w:rFonts w:hint="eastAsia"/>
          <w:highlight w:val="none"/>
        </w:rPr>
      </w:pPr>
    </w:p>
    <w:p w14:paraId="7CCEA2C5">
      <w:pPr>
        <w:spacing w:line="360" w:lineRule="auto"/>
        <w:rPr>
          <w:rFonts w:hint="eastAsia"/>
          <w:highlight w:val="none"/>
        </w:rPr>
      </w:pPr>
    </w:p>
    <w:p w14:paraId="1E476A56">
      <w:pPr>
        <w:spacing w:line="360" w:lineRule="auto"/>
        <w:rPr>
          <w:rFonts w:hint="eastAsia"/>
          <w:highlight w:val="none"/>
        </w:rPr>
      </w:pPr>
    </w:p>
    <w:p w14:paraId="34C72801">
      <w:pPr>
        <w:pStyle w:val="19"/>
        <w:spacing w:line="360" w:lineRule="auto"/>
        <w:ind w:left="1506" w:hanging="1506" w:hangingChars="500"/>
        <w:outlineLvl w:val="0"/>
        <w:rPr>
          <w:rFonts w:hint="eastAsia" w:hAnsi="宋体" w:eastAsia="宋体"/>
          <w:b/>
          <w:bCs/>
          <w:spacing w:val="-37"/>
          <w:sz w:val="30"/>
          <w:szCs w:val="30"/>
          <w:highlight w:val="none"/>
          <w:u w:val="single"/>
          <w:lang w:eastAsia="zh-CN"/>
        </w:rPr>
      </w:pPr>
      <w:bookmarkStart w:id="2" w:name="_Toc14490"/>
      <w:r>
        <w:rPr>
          <w:rFonts w:hAnsi="宋体"/>
          <w:b/>
          <w:bCs/>
          <w:sz w:val="30"/>
          <w:szCs w:val="30"/>
          <w:highlight w:val="none"/>
        </w:rPr>
        <w:t>项目名称：</w:t>
      </w:r>
      <w:bookmarkEnd w:id="2"/>
      <w:r>
        <w:rPr>
          <w:rFonts w:hint="eastAsia" w:hAnsi="宋体"/>
          <w:b/>
          <w:bCs/>
          <w:spacing w:val="-11"/>
          <w:sz w:val="30"/>
          <w:szCs w:val="30"/>
          <w:highlight w:val="none"/>
          <w:u w:val="single"/>
          <w:lang w:eastAsia="zh-CN"/>
        </w:rPr>
        <w:t>“十五五”建设用地减量化及一般耕地复垦实施方案</w:t>
      </w:r>
    </w:p>
    <w:p w14:paraId="57568222">
      <w:pPr>
        <w:pStyle w:val="19"/>
        <w:adjustRightInd w:val="0"/>
        <w:snapToGrid w:val="0"/>
        <w:spacing w:line="360" w:lineRule="auto"/>
        <w:outlineLvl w:val="0"/>
        <w:rPr>
          <w:rFonts w:hint="eastAsia" w:hAnsi="宋体" w:eastAsia="宋体"/>
          <w:b/>
          <w:bCs/>
          <w:spacing w:val="-11"/>
          <w:sz w:val="30"/>
          <w:szCs w:val="30"/>
          <w:highlight w:val="none"/>
          <w:u w:val="single"/>
          <w:lang w:eastAsia="zh-CN"/>
        </w:rPr>
      </w:pPr>
      <w:bookmarkStart w:id="3" w:name="_Toc265"/>
      <w:r>
        <w:rPr>
          <w:rFonts w:hAnsi="宋体"/>
          <w:b/>
          <w:bCs/>
          <w:sz w:val="30"/>
          <w:szCs w:val="30"/>
          <w:highlight w:val="none"/>
        </w:rPr>
        <w:t>采购人：</w:t>
      </w:r>
      <w:bookmarkEnd w:id="3"/>
      <w:r>
        <w:rPr>
          <w:rFonts w:hint="eastAsia" w:hAnsi="宋体"/>
          <w:b/>
          <w:bCs/>
          <w:spacing w:val="-11"/>
          <w:sz w:val="30"/>
          <w:szCs w:val="30"/>
          <w:highlight w:val="none"/>
          <w:u w:val="single"/>
          <w:lang w:eastAsia="zh-CN"/>
        </w:rPr>
        <w:t>上海市松江区土地储备和土地整理中心</w:t>
      </w:r>
    </w:p>
    <w:p w14:paraId="2CCB2F0A">
      <w:pPr>
        <w:pStyle w:val="19"/>
        <w:adjustRightInd w:val="0"/>
        <w:snapToGrid w:val="0"/>
        <w:spacing w:line="360" w:lineRule="auto"/>
        <w:rPr>
          <w:rFonts w:hAnsi="宋体"/>
          <w:b/>
          <w:bCs/>
          <w:sz w:val="30"/>
          <w:szCs w:val="30"/>
          <w:highlight w:val="none"/>
        </w:rPr>
      </w:pPr>
      <w:r>
        <w:rPr>
          <w:rFonts w:hAnsi="宋体"/>
          <w:b/>
          <w:bCs/>
          <w:sz w:val="30"/>
          <w:szCs w:val="30"/>
          <w:highlight w:val="none"/>
        </w:rPr>
        <w:t>采购代理机构：</w:t>
      </w:r>
      <w:r>
        <w:rPr>
          <w:rFonts w:hAnsi="宋体"/>
          <w:b/>
          <w:bCs/>
          <w:sz w:val="30"/>
          <w:szCs w:val="30"/>
          <w:highlight w:val="none"/>
          <w:u w:val="single"/>
        </w:rPr>
        <w:t>上海科瑞真诚建设项目管理有限公司</w:t>
      </w:r>
    </w:p>
    <w:p w14:paraId="09D86090">
      <w:pPr>
        <w:pStyle w:val="19"/>
        <w:adjustRightInd w:val="0"/>
        <w:snapToGrid w:val="0"/>
        <w:spacing w:line="360" w:lineRule="auto"/>
        <w:outlineLvl w:val="0"/>
        <w:rPr>
          <w:rFonts w:hAnsi="宋体"/>
          <w:b/>
          <w:bCs/>
          <w:sz w:val="30"/>
          <w:szCs w:val="30"/>
          <w:highlight w:val="none"/>
          <w:u w:val="single"/>
        </w:rPr>
      </w:pPr>
      <w:bookmarkStart w:id="4" w:name="_Toc12771"/>
      <w:r>
        <w:rPr>
          <w:rFonts w:hAnsi="宋体"/>
          <w:b/>
          <w:bCs/>
          <w:sz w:val="30"/>
          <w:szCs w:val="30"/>
          <w:highlight w:val="none"/>
        </w:rPr>
        <w:t>日        期：</w:t>
      </w:r>
      <w:bookmarkEnd w:id="4"/>
      <w:r>
        <w:rPr>
          <w:rFonts w:hAnsi="宋体"/>
          <w:b/>
          <w:bCs/>
          <w:sz w:val="30"/>
          <w:szCs w:val="30"/>
          <w:highlight w:val="none"/>
          <w:u w:val="single"/>
        </w:rPr>
        <w:t>2026年</w:t>
      </w:r>
      <w:r>
        <w:rPr>
          <w:rFonts w:hint="eastAsia" w:hAnsi="宋体"/>
          <w:b/>
          <w:bCs/>
          <w:sz w:val="30"/>
          <w:szCs w:val="30"/>
          <w:highlight w:val="none"/>
          <w:u w:val="single"/>
          <w:lang w:val="en-US" w:eastAsia="zh-CN"/>
        </w:rPr>
        <w:t>6</w:t>
      </w:r>
      <w:r>
        <w:rPr>
          <w:rFonts w:hAnsi="宋体"/>
          <w:b/>
          <w:bCs/>
          <w:sz w:val="30"/>
          <w:szCs w:val="30"/>
          <w:highlight w:val="none"/>
          <w:u w:val="single"/>
        </w:rPr>
        <w:t>月</w:t>
      </w:r>
    </w:p>
    <w:p w14:paraId="4CFD2431">
      <w:pPr>
        <w:spacing w:line="360" w:lineRule="auto"/>
        <w:rPr>
          <w:rFonts w:hint="eastAsia"/>
          <w:sz w:val="28"/>
          <w:highlight w:val="none"/>
        </w:rPr>
        <w:sectPr>
          <w:footerReference r:id="rId5" w:type="first"/>
          <w:headerReference r:id="rId3" w:type="default"/>
          <w:footerReference r:id="rId4" w:type="even"/>
          <w:pgSz w:w="11906" w:h="16838"/>
          <w:pgMar w:top="1361" w:right="1361" w:bottom="1361" w:left="1361" w:header="851" w:footer="851" w:gutter="0"/>
          <w:pgNumType w:start="1"/>
          <w:cols w:space="720" w:num="1"/>
          <w:docGrid w:linePitch="312" w:charSpace="0"/>
        </w:sectPr>
      </w:pPr>
    </w:p>
    <w:p w14:paraId="26624844">
      <w:pPr>
        <w:pStyle w:val="23"/>
        <w:spacing w:line="360" w:lineRule="auto"/>
        <w:rPr>
          <w:rFonts w:hint="eastAsia"/>
          <w:highlight w:val="none"/>
        </w:rPr>
      </w:pPr>
    </w:p>
    <w:p w14:paraId="237B11BA">
      <w:pPr>
        <w:jc w:val="center"/>
        <w:rPr>
          <w:rFonts w:hint="eastAsia"/>
          <w:b/>
          <w:bCs/>
          <w:sz w:val="28"/>
          <w:szCs w:val="28"/>
          <w:highlight w:val="none"/>
        </w:rPr>
      </w:pPr>
      <w:r>
        <w:rPr>
          <w:b/>
          <w:bCs/>
          <w:sz w:val="28"/>
          <w:szCs w:val="28"/>
          <w:highlight w:val="none"/>
        </w:rPr>
        <w:t>目</w:t>
      </w:r>
      <w:r>
        <w:rPr>
          <w:rFonts w:hint="eastAsia"/>
          <w:b/>
          <w:bCs/>
          <w:sz w:val="28"/>
          <w:szCs w:val="28"/>
          <w:highlight w:val="none"/>
        </w:rPr>
        <w:t xml:space="preserve">  </w:t>
      </w:r>
      <w:r>
        <w:rPr>
          <w:b/>
          <w:bCs/>
          <w:sz w:val="28"/>
          <w:szCs w:val="28"/>
          <w:highlight w:val="none"/>
        </w:rPr>
        <w:t>录</w:t>
      </w:r>
    </w:p>
    <w:p w14:paraId="4363C8D0">
      <w:pPr>
        <w:pStyle w:val="148"/>
        <w:tabs>
          <w:tab w:val="right" w:leader="dot" w:pos="9184"/>
        </w:tabs>
        <w:rPr>
          <w:highlight w:val="none"/>
        </w:rPr>
      </w:pPr>
      <w:r>
        <w:rPr>
          <w:highlight w:val="none"/>
        </w:rPr>
        <w:fldChar w:fldCharType="begin"/>
      </w:r>
      <w:r>
        <w:rPr>
          <w:highlight w:val="none"/>
        </w:rPr>
        <w:instrText xml:space="preserve">TOC \o "1-1" \h \u </w:instrText>
      </w:r>
      <w:r>
        <w:rPr>
          <w:highlight w:val="none"/>
        </w:rPr>
        <w:fldChar w:fldCharType="separate"/>
      </w:r>
    </w:p>
    <w:p w14:paraId="661BAEE6">
      <w:pPr>
        <w:pStyle w:val="148"/>
        <w:tabs>
          <w:tab w:val="right" w:leader="dot" w:pos="9184"/>
        </w:tabs>
        <w:spacing w:line="360" w:lineRule="auto"/>
        <w:rPr>
          <w:sz w:val="21"/>
          <w:szCs w:val="21"/>
          <w:highlight w:val="none"/>
        </w:rPr>
      </w:pPr>
      <w:r>
        <w:rPr>
          <w:highlight w:val="none"/>
        </w:rPr>
        <w:fldChar w:fldCharType="begin"/>
      </w:r>
      <w:r>
        <w:rPr>
          <w:highlight w:val="none"/>
        </w:rPr>
        <w:instrText xml:space="preserve"> HYPERLINK \l "_Toc4371" </w:instrText>
      </w:r>
      <w:r>
        <w:rPr>
          <w:highlight w:val="none"/>
        </w:rPr>
        <w:fldChar w:fldCharType="separate"/>
      </w:r>
      <w:r>
        <w:rPr>
          <w:rFonts w:hint="eastAsia"/>
          <w:sz w:val="21"/>
          <w:szCs w:val="21"/>
          <w:highlight w:val="none"/>
        </w:rPr>
        <w:t>第一部分  竞争性磋商公告</w:t>
      </w:r>
      <w:r>
        <w:rPr>
          <w:sz w:val="21"/>
          <w:szCs w:val="21"/>
          <w:highlight w:val="none"/>
        </w:rPr>
        <w:tab/>
      </w:r>
      <w:r>
        <w:rPr>
          <w:sz w:val="21"/>
          <w:szCs w:val="21"/>
          <w:highlight w:val="none"/>
        </w:rPr>
        <w:fldChar w:fldCharType="begin"/>
      </w:r>
      <w:r>
        <w:rPr>
          <w:sz w:val="21"/>
          <w:szCs w:val="21"/>
          <w:highlight w:val="none"/>
        </w:rPr>
        <w:instrText xml:space="preserve"> PAGEREF _Toc4371 \h </w:instrText>
      </w:r>
      <w:r>
        <w:rPr>
          <w:sz w:val="21"/>
          <w:szCs w:val="21"/>
          <w:highlight w:val="none"/>
        </w:rPr>
        <w:fldChar w:fldCharType="separate"/>
      </w:r>
      <w:r>
        <w:rPr>
          <w:sz w:val="21"/>
          <w:szCs w:val="21"/>
          <w:highlight w:val="none"/>
        </w:rPr>
        <w:t>1</w:t>
      </w:r>
      <w:r>
        <w:rPr>
          <w:sz w:val="21"/>
          <w:szCs w:val="21"/>
          <w:highlight w:val="none"/>
        </w:rPr>
        <w:fldChar w:fldCharType="end"/>
      </w:r>
      <w:r>
        <w:rPr>
          <w:sz w:val="21"/>
          <w:szCs w:val="21"/>
          <w:highlight w:val="none"/>
        </w:rPr>
        <w:fldChar w:fldCharType="end"/>
      </w:r>
    </w:p>
    <w:p w14:paraId="4F119781">
      <w:pPr>
        <w:pStyle w:val="148"/>
        <w:tabs>
          <w:tab w:val="right" w:leader="dot" w:pos="9184"/>
        </w:tabs>
        <w:spacing w:line="360" w:lineRule="auto"/>
        <w:rPr>
          <w:sz w:val="21"/>
          <w:szCs w:val="21"/>
          <w:highlight w:val="none"/>
        </w:rPr>
      </w:pPr>
      <w:r>
        <w:rPr>
          <w:highlight w:val="none"/>
        </w:rPr>
        <w:fldChar w:fldCharType="begin"/>
      </w:r>
      <w:r>
        <w:rPr>
          <w:highlight w:val="none"/>
        </w:rPr>
        <w:instrText xml:space="preserve"> HYPERLINK \l "_Toc11708" </w:instrText>
      </w:r>
      <w:r>
        <w:rPr>
          <w:highlight w:val="none"/>
        </w:rPr>
        <w:fldChar w:fldCharType="separate"/>
      </w:r>
      <w:r>
        <w:rPr>
          <w:rFonts w:hint="eastAsia" w:ascii="宋体" w:hAnsi="宋体"/>
          <w:bCs/>
          <w:sz w:val="21"/>
          <w:szCs w:val="21"/>
          <w:highlight w:val="none"/>
        </w:rPr>
        <w:t>第二部分  投标人须知及前附表</w:t>
      </w:r>
      <w:r>
        <w:rPr>
          <w:sz w:val="21"/>
          <w:szCs w:val="21"/>
          <w:highlight w:val="none"/>
        </w:rPr>
        <w:tab/>
      </w:r>
      <w:r>
        <w:rPr>
          <w:sz w:val="21"/>
          <w:szCs w:val="21"/>
          <w:highlight w:val="none"/>
        </w:rPr>
        <w:fldChar w:fldCharType="begin"/>
      </w:r>
      <w:r>
        <w:rPr>
          <w:sz w:val="21"/>
          <w:szCs w:val="21"/>
          <w:highlight w:val="none"/>
        </w:rPr>
        <w:instrText xml:space="preserve"> PAGEREF _Toc11708 \h </w:instrText>
      </w:r>
      <w:r>
        <w:rPr>
          <w:sz w:val="21"/>
          <w:szCs w:val="21"/>
          <w:highlight w:val="none"/>
        </w:rPr>
        <w:fldChar w:fldCharType="separate"/>
      </w:r>
      <w:r>
        <w:rPr>
          <w:sz w:val="21"/>
          <w:szCs w:val="21"/>
          <w:highlight w:val="none"/>
        </w:rPr>
        <w:t>4</w:t>
      </w:r>
      <w:r>
        <w:rPr>
          <w:sz w:val="21"/>
          <w:szCs w:val="21"/>
          <w:highlight w:val="none"/>
        </w:rPr>
        <w:fldChar w:fldCharType="end"/>
      </w:r>
      <w:r>
        <w:rPr>
          <w:sz w:val="21"/>
          <w:szCs w:val="21"/>
          <w:highlight w:val="none"/>
        </w:rPr>
        <w:fldChar w:fldCharType="end"/>
      </w:r>
    </w:p>
    <w:p w14:paraId="70EE038E">
      <w:pPr>
        <w:pStyle w:val="148"/>
        <w:tabs>
          <w:tab w:val="right" w:leader="dot" w:pos="9184"/>
        </w:tabs>
        <w:spacing w:line="360" w:lineRule="auto"/>
        <w:rPr>
          <w:sz w:val="21"/>
          <w:szCs w:val="21"/>
          <w:highlight w:val="none"/>
        </w:rPr>
      </w:pPr>
      <w:r>
        <w:rPr>
          <w:highlight w:val="none"/>
        </w:rPr>
        <w:fldChar w:fldCharType="begin"/>
      </w:r>
      <w:r>
        <w:rPr>
          <w:highlight w:val="none"/>
        </w:rPr>
        <w:instrText xml:space="preserve"> HYPERLINK \l "_Toc30082" </w:instrText>
      </w:r>
      <w:r>
        <w:rPr>
          <w:highlight w:val="none"/>
        </w:rPr>
        <w:fldChar w:fldCharType="separate"/>
      </w:r>
      <w:r>
        <w:rPr>
          <w:rFonts w:hint="eastAsia"/>
          <w:sz w:val="21"/>
          <w:szCs w:val="21"/>
          <w:highlight w:val="none"/>
        </w:rPr>
        <w:t>第三部分  项目采购需求</w:t>
      </w:r>
      <w:r>
        <w:rPr>
          <w:sz w:val="21"/>
          <w:szCs w:val="21"/>
          <w:highlight w:val="none"/>
        </w:rPr>
        <w:tab/>
      </w:r>
      <w:r>
        <w:rPr>
          <w:sz w:val="21"/>
          <w:szCs w:val="21"/>
          <w:highlight w:val="none"/>
        </w:rPr>
        <w:fldChar w:fldCharType="begin"/>
      </w:r>
      <w:r>
        <w:rPr>
          <w:sz w:val="21"/>
          <w:szCs w:val="21"/>
          <w:highlight w:val="none"/>
        </w:rPr>
        <w:instrText xml:space="preserve"> PAGEREF _Toc30082 \h </w:instrText>
      </w:r>
      <w:r>
        <w:rPr>
          <w:sz w:val="21"/>
          <w:szCs w:val="21"/>
          <w:highlight w:val="none"/>
        </w:rPr>
        <w:fldChar w:fldCharType="separate"/>
      </w:r>
      <w:r>
        <w:rPr>
          <w:sz w:val="21"/>
          <w:szCs w:val="21"/>
          <w:highlight w:val="none"/>
        </w:rPr>
        <w:t>22</w:t>
      </w:r>
      <w:r>
        <w:rPr>
          <w:sz w:val="21"/>
          <w:szCs w:val="21"/>
          <w:highlight w:val="none"/>
        </w:rPr>
        <w:fldChar w:fldCharType="end"/>
      </w:r>
      <w:r>
        <w:rPr>
          <w:sz w:val="21"/>
          <w:szCs w:val="21"/>
          <w:highlight w:val="none"/>
        </w:rPr>
        <w:fldChar w:fldCharType="end"/>
      </w:r>
    </w:p>
    <w:p w14:paraId="760B5AAA">
      <w:pPr>
        <w:pStyle w:val="148"/>
        <w:tabs>
          <w:tab w:val="right" w:leader="dot" w:pos="9184"/>
        </w:tabs>
        <w:spacing w:line="360" w:lineRule="auto"/>
        <w:rPr>
          <w:sz w:val="21"/>
          <w:szCs w:val="21"/>
          <w:highlight w:val="none"/>
        </w:rPr>
      </w:pPr>
      <w:r>
        <w:rPr>
          <w:highlight w:val="none"/>
        </w:rPr>
        <w:fldChar w:fldCharType="begin"/>
      </w:r>
      <w:r>
        <w:rPr>
          <w:highlight w:val="none"/>
        </w:rPr>
        <w:instrText xml:space="preserve"> HYPERLINK \l "_Toc6669" </w:instrText>
      </w:r>
      <w:r>
        <w:rPr>
          <w:highlight w:val="none"/>
        </w:rPr>
        <w:fldChar w:fldCharType="separate"/>
      </w:r>
      <w:r>
        <w:rPr>
          <w:rFonts w:hint="eastAsia"/>
          <w:sz w:val="21"/>
          <w:szCs w:val="21"/>
          <w:highlight w:val="none"/>
        </w:rPr>
        <w:t>第四部分  磋商程序和评审方法、标准</w:t>
      </w:r>
      <w:r>
        <w:rPr>
          <w:sz w:val="21"/>
          <w:szCs w:val="21"/>
          <w:highlight w:val="none"/>
        </w:rPr>
        <w:tab/>
      </w:r>
      <w:r>
        <w:rPr>
          <w:sz w:val="21"/>
          <w:szCs w:val="21"/>
          <w:highlight w:val="none"/>
        </w:rPr>
        <w:fldChar w:fldCharType="begin"/>
      </w:r>
      <w:r>
        <w:rPr>
          <w:sz w:val="21"/>
          <w:szCs w:val="21"/>
          <w:highlight w:val="none"/>
        </w:rPr>
        <w:instrText xml:space="preserve"> PAGEREF _Toc6669 \h </w:instrText>
      </w:r>
      <w:r>
        <w:rPr>
          <w:sz w:val="21"/>
          <w:szCs w:val="21"/>
          <w:highlight w:val="none"/>
        </w:rPr>
        <w:fldChar w:fldCharType="separate"/>
      </w:r>
      <w:r>
        <w:rPr>
          <w:sz w:val="21"/>
          <w:szCs w:val="21"/>
          <w:highlight w:val="none"/>
        </w:rPr>
        <w:t>26</w:t>
      </w:r>
      <w:r>
        <w:rPr>
          <w:sz w:val="21"/>
          <w:szCs w:val="21"/>
          <w:highlight w:val="none"/>
        </w:rPr>
        <w:fldChar w:fldCharType="end"/>
      </w:r>
      <w:r>
        <w:rPr>
          <w:sz w:val="21"/>
          <w:szCs w:val="21"/>
          <w:highlight w:val="none"/>
        </w:rPr>
        <w:fldChar w:fldCharType="end"/>
      </w:r>
    </w:p>
    <w:p w14:paraId="2CA2242B">
      <w:pPr>
        <w:pStyle w:val="148"/>
        <w:tabs>
          <w:tab w:val="right" w:leader="dot" w:pos="9184"/>
        </w:tabs>
        <w:spacing w:line="360" w:lineRule="auto"/>
        <w:rPr>
          <w:sz w:val="21"/>
          <w:szCs w:val="21"/>
          <w:highlight w:val="none"/>
        </w:rPr>
      </w:pPr>
      <w:r>
        <w:rPr>
          <w:highlight w:val="none"/>
        </w:rPr>
        <w:fldChar w:fldCharType="begin"/>
      </w:r>
      <w:r>
        <w:rPr>
          <w:highlight w:val="none"/>
        </w:rPr>
        <w:instrText xml:space="preserve"> HYPERLINK \l "_Toc4279" </w:instrText>
      </w:r>
      <w:r>
        <w:rPr>
          <w:highlight w:val="none"/>
        </w:rPr>
        <w:fldChar w:fldCharType="separate"/>
      </w:r>
      <w:r>
        <w:rPr>
          <w:rFonts w:hint="eastAsia"/>
          <w:sz w:val="21"/>
          <w:szCs w:val="21"/>
          <w:highlight w:val="none"/>
        </w:rPr>
        <w:t>第五部分  响应文件格式</w:t>
      </w:r>
      <w:r>
        <w:rPr>
          <w:sz w:val="21"/>
          <w:szCs w:val="21"/>
          <w:highlight w:val="none"/>
        </w:rPr>
        <w:tab/>
      </w:r>
      <w:r>
        <w:rPr>
          <w:sz w:val="21"/>
          <w:szCs w:val="21"/>
          <w:highlight w:val="none"/>
        </w:rPr>
        <w:fldChar w:fldCharType="begin"/>
      </w:r>
      <w:r>
        <w:rPr>
          <w:sz w:val="21"/>
          <w:szCs w:val="21"/>
          <w:highlight w:val="none"/>
        </w:rPr>
        <w:instrText xml:space="preserve"> PAGEREF _Toc4279 \h </w:instrText>
      </w:r>
      <w:r>
        <w:rPr>
          <w:sz w:val="21"/>
          <w:szCs w:val="21"/>
          <w:highlight w:val="none"/>
        </w:rPr>
        <w:fldChar w:fldCharType="separate"/>
      </w:r>
      <w:r>
        <w:rPr>
          <w:sz w:val="21"/>
          <w:szCs w:val="21"/>
          <w:highlight w:val="none"/>
        </w:rPr>
        <w:t>30</w:t>
      </w:r>
      <w:r>
        <w:rPr>
          <w:sz w:val="21"/>
          <w:szCs w:val="21"/>
          <w:highlight w:val="none"/>
        </w:rPr>
        <w:fldChar w:fldCharType="end"/>
      </w:r>
      <w:r>
        <w:rPr>
          <w:sz w:val="21"/>
          <w:szCs w:val="21"/>
          <w:highlight w:val="none"/>
        </w:rPr>
        <w:fldChar w:fldCharType="end"/>
      </w:r>
    </w:p>
    <w:p w14:paraId="63525B90">
      <w:pPr>
        <w:pStyle w:val="148"/>
        <w:tabs>
          <w:tab w:val="right" w:leader="dot" w:pos="9184"/>
        </w:tabs>
        <w:spacing w:line="360" w:lineRule="auto"/>
        <w:rPr>
          <w:sz w:val="21"/>
          <w:szCs w:val="21"/>
          <w:highlight w:val="none"/>
        </w:rPr>
      </w:pPr>
      <w:r>
        <w:rPr>
          <w:highlight w:val="none"/>
        </w:rPr>
        <w:fldChar w:fldCharType="begin"/>
      </w:r>
      <w:r>
        <w:rPr>
          <w:highlight w:val="none"/>
        </w:rPr>
        <w:instrText xml:space="preserve"> HYPERLINK \l "_Toc31363" </w:instrText>
      </w:r>
      <w:r>
        <w:rPr>
          <w:highlight w:val="none"/>
        </w:rPr>
        <w:fldChar w:fldCharType="separate"/>
      </w:r>
      <w:r>
        <w:rPr>
          <w:rFonts w:hint="eastAsia"/>
          <w:sz w:val="21"/>
          <w:szCs w:val="21"/>
          <w:highlight w:val="none"/>
        </w:rPr>
        <w:t>第六部分  合同主要条款</w:t>
      </w:r>
      <w:r>
        <w:rPr>
          <w:sz w:val="21"/>
          <w:szCs w:val="21"/>
          <w:highlight w:val="none"/>
        </w:rPr>
        <w:tab/>
      </w:r>
      <w:r>
        <w:rPr>
          <w:sz w:val="21"/>
          <w:szCs w:val="21"/>
          <w:highlight w:val="none"/>
        </w:rPr>
        <w:fldChar w:fldCharType="begin"/>
      </w:r>
      <w:r>
        <w:rPr>
          <w:sz w:val="21"/>
          <w:szCs w:val="21"/>
          <w:highlight w:val="none"/>
        </w:rPr>
        <w:instrText xml:space="preserve"> PAGEREF _Toc31363 \h </w:instrText>
      </w:r>
      <w:r>
        <w:rPr>
          <w:sz w:val="21"/>
          <w:szCs w:val="21"/>
          <w:highlight w:val="none"/>
        </w:rPr>
        <w:fldChar w:fldCharType="separate"/>
      </w:r>
      <w:r>
        <w:rPr>
          <w:sz w:val="21"/>
          <w:szCs w:val="21"/>
          <w:highlight w:val="none"/>
        </w:rPr>
        <w:t>56</w:t>
      </w:r>
      <w:r>
        <w:rPr>
          <w:sz w:val="21"/>
          <w:szCs w:val="21"/>
          <w:highlight w:val="none"/>
        </w:rPr>
        <w:fldChar w:fldCharType="end"/>
      </w:r>
      <w:r>
        <w:rPr>
          <w:sz w:val="21"/>
          <w:szCs w:val="21"/>
          <w:highlight w:val="none"/>
        </w:rPr>
        <w:fldChar w:fldCharType="end"/>
      </w:r>
    </w:p>
    <w:p w14:paraId="698F8A43">
      <w:pPr>
        <w:pStyle w:val="22"/>
        <w:spacing w:line="360" w:lineRule="auto"/>
        <w:rPr>
          <w:rFonts w:hint="eastAsia"/>
          <w:szCs w:val="20"/>
          <w:highlight w:val="none"/>
        </w:rPr>
      </w:pPr>
      <w:r>
        <w:rPr>
          <w:szCs w:val="20"/>
          <w:highlight w:val="none"/>
        </w:rPr>
        <w:fldChar w:fldCharType="end"/>
      </w:r>
    </w:p>
    <w:p w14:paraId="42B81C35">
      <w:pPr>
        <w:pStyle w:val="25"/>
        <w:tabs>
          <w:tab w:val="right" w:leader="dot" w:pos="8640"/>
          <w:tab w:val="right" w:leader="dot" w:pos="8820"/>
          <w:tab w:val="right" w:leader="dot" w:pos="9180"/>
          <w:tab w:val="clear" w:pos="9360"/>
        </w:tabs>
        <w:spacing w:line="360" w:lineRule="auto"/>
        <w:rPr>
          <w:rFonts w:hint="eastAsia"/>
          <w:highlight w:val="none"/>
        </w:rPr>
        <w:sectPr>
          <w:footerReference r:id="rId6" w:type="default"/>
          <w:pgSz w:w="11906" w:h="16838"/>
          <w:pgMar w:top="1361" w:right="1361" w:bottom="1361" w:left="1361" w:header="851" w:footer="851" w:gutter="0"/>
          <w:pgNumType w:start="1"/>
          <w:cols w:space="720" w:num="1"/>
          <w:docGrid w:linePitch="312" w:charSpace="0"/>
        </w:sectPr>
      </w:pPr>
      <w:bookmarkStart w:id="5" w:name="_Toc29357044"/>
    </w:p>
    <w:p w14:paraId="2C1EFE5D">
      <w:pPr>
        <w:pStyle w:val="3"/>
        <w:keepNext w:val="0"/>
        <w:keepLines w:val="0"/>
        <w:spacing w:line="560" w:lineRule="exact"/>
        <w:ind w:left="147"/>
        <w:rPr>
          <w:rFonts w:hint="eastAsia" w:ascii="宋体" w:hAnsi="宋体"/>
          <w:bCs/>
          <w:color w:val="383940"/>
          <w:sz w:val="40"/>
          <w:szCs w:val="40"/>
          <w:highlight w:val="none"/>
          <w:shd w:val="clear" w:color="auto" w:fill="FFFFFF"/>
          <w:lang w:bidi="ar"/>
        </w:rPr>
      </w:pPr>
      <w:bookmarkStart w:id="6" w:name="_Toc415478477"/>
      <w:bookmarkStart w:id="7" w:name="_Toc115756014"/>
      <w:bookmarkStart w:id="8" w:name="_Toc72335493"/>
      <w:bookmarkStart w:id="9" w:name="_Toc4371"/>
      <w:r>
        <w:rPr>
          <w:rFonts w:hint="eastAsia" w:ascii="宋体" w:hAnsi="宋体"/>
          <w:bCs/>
          <w:color w:val="383940"/>
          <w:sz w:val="40"/>
          <w:szCs w:val="40"/>
          <w:highlight w:val="none"/>
          <w:shd w:val="clear" w:color="auto" w:fill="FFFFFF"/>
          <w:lang w:bidi="ar"/>
        </w:rPr>
        <w:t xml:space="preserve">第一部分  </w:t>
      </w:r>
      <w:bookmarkEnd w:id="6"/>
      <w:bookmarkEnd w:id="7"/>
      <w:bookmarkStart w:id="10" w:name="_Hlk72327367"/>
      <w:bookmarkStart w:id="11" w:name="_Hlk71371329"/>
      <w:r>
        <w:rPr>
          <w:rFonts w:hint="eastAsia" w:ascii="宋体" w:hAnsi="宋体"/>
          <w:bCs/>
          <w:color w:val="383940"/>
          <w:sz w:val="40"/>
          <w:szCs w:val="40"/>
          <w:highlight w:val="none"/>
          <w:shd w:val="clear" w:color="auto" w:fill="FFFFFF"/>
          <w:lang w:bidi="ar"/>
        </w:rPr>
        <w:t>竞争性磋商公告</w:t>
      </w:r>
      <w:bookmarkEnd w:id="8"/>
      <w:bookmarkEnd w:id="9"/>
    </w:p>
    <w:bookmarkEnd w:id="5"/>
    <w:bookmarkEnd w:id="10"/>
    <w:bookmarkEnd w:id="11"/>
    <w:p w14:paraId="3C10F8D9">
      <w:pPr>
        <w:shd w:val="clear" w:color="auto" w:fill="FFFFFF"/>
        <w:spacing w:line="360" w:lineRule="auto"/>
        <w:textAlignment w:val="baseline"/>
        <w:outlineLvl w:val="2"/>
        <w:rPr>
          <w:rFonts w:hint="eastAsia"/>
          <w:b/>
          <w:bCs/>
          <w:color w:val="383838"/>
          <w:highlight w:val="none"/>
        </w:rPr>
      </w:pPr>
      <w:r>
        <w:rPr>
          <w:rFonts w:hint="eastAsia"/>
          <w:b/>
          <w:bCs/>
          <w:color w:val="383838"/>
          <w:highlight w:val="none"/>
        </w:rPr>
        <w:t>项目概况</w:t>
      </w:r>
    </w:p>
    <w:p w14:paraId="7227661C">
      <w:pPr>
        <w:shd w:val="clear" w:color="auto" w:fill="FFFFFF"/>
        <w:spacing w:line="360" w:lineRule="auto"/>
        <w:ind w:firstLine="480" w:firstLineChars="200"/>
        <w:textAlignment w:val="baseline"/>
        <w:rPr>
          <w:rFonts w:hint="eastAsia"/>
          <w:color w:val="383838"/>
          <w:highlight w:val="none"/>
        </w:rPr>
      </w:pPr>
      <w:r>
        <w:rPr>
          <w:rFonts w:hint="eastAsia"/>
          <w:color w:val="383838"/>
          <w:highlight w:val="none"/>
          <w:lang w:eastAsia="zh-CN"/>
        </w:rPr>
        <w:t>“十五五”建设用地减量化及一般耕地复垦实施方案</w:t>
      </w:r>
      <w:r>
        <w:rPr>
          <w:rFonts w:hint="eastAsia"/>
          <w:color w:val="383838"/>
          <w:highlight w:val="none"/>
        </w:rPr>
        <w:t>的潜在投标人应在上海市松江区鼎源路618弄79号1楼获取竞争性磋商文件，并于</w:t>
      </w:r>
      <w:r>
        <w:rPr>
          <w:rFonts w:hint="eastAsia"/>
          <w:color w:val="383838"/>
          <w:highlight w:val="none"/>
        </w:rPr>
        <w:t>2026年</w:t>
      </w:r>
      <w:r>
        <w:rPr>
          <w:rFonts w:hint="eastAsia"/>
          <w:color w:val="383838"/>
          <w:highlight w:val="none"/>
          <w:lang w:val="en-US" w:eastAsia="zh-CN"/>
        </w:rPr>
        <w:t>6</w:t>
      </w:r>
      <w:r>
        <w:rPr>
          <w:rFonts w:hint="eastAsia"/>
          <w:color w:val="383838"/>
          <w:highlight w:val="none"/>
        </w:rPr>
        <w:t>月</w:t>
      </w:r>
      <w:r>
        <w:rPr>
          <w:rFonts w:hint="eastAsia"/>
          <w:color w:val="383838"/>
          <w:highlight w:val="none"/>
          <w:lang w:val="en-US" w:eastAsia="zh-CN"/>
        </w:rPr>
        <w:t>25</w:t>
      </w:r>
      <w:r>
        <w:rPr>
          <w:rFonts w:hint="eastAsia"/>
          <w:color w:val="383838"/>
          <w:highlight w:val="none"/>
        </w:rPr>
        <w:t>日</w:t>
      </w:r>
      <w:r>
        <w:rPr>
          <w:rFonts w:hint="eastAsia"/>
          <w:highlight w:val="none"/>
          <w:lang w:val="en-US" w:eastAsia="zh-CN"/>
        </w:rPr>
        <w:t>13</w:t>
      </w:r>
      <w:r>
        <w:rPr>
          <w:rFonts w:hint="eastAsia"/>
          <w:highlight w:val="none"/>
        </w:rPr>
        <w:t>点</w:t>
      </w:r>
      <w:r>
        <w:rPr>
          <w:rFonts w:hint="eastAsia"/>
          <w:highlight w:val="none"/>
          <w:lang w:val="en-US" w:eastAsia="zh-CN"/>
        </w:rPr>
        <w:t>3</w:t>
      </w:r>
      <w:r>
        <w:rPr>
          <w:rFonts w:hint="eastAsia"/>
          <w:highlight w:val="none"/>
        </w:rPr>
        <w:t>0分</w:t>
      </w:r>
      <w:r>
        <w:rPr>
          <w:rFonts w:hint="eastAsia"/>
          <w:color w:val="383838"/>
          <w:highlight w:val="none"/>
        </w:rPr>
        <w:t>（北京时间）前递交响应文件。</w:t>
      </w:r>
    </w:p>
    <w:p w14:paraId="6C8532BC">
      <w:pPr>
        <w:shd w:val="clear" w:color="auto" w:fill="FFFFFF"/>
        <w:spacing w:line="360" w:lineRule="auto"/>
        <w:textAlignment w:val="baseline"/>
        <w:rPr>
          <w:rFonts w:hint="eastAsia"/>
          <w:color w:val="383838"/>
          <w:highlight w:val="none"/>
        </w:rPr>
      </w:pPr>
      <w:r>
        <w:rPr>
          <w:rFonts w:hint="eastAsia"/>
          <w:b/>
          <w:bCs/>
          <w:color w:val="383838"/>
          <w:highlight w:val="none"/>
        </w:rPr>
        <w:t>一、项目基本情况</w:t>
      </w:r>
    </w:p>
    <w:p w14:paraId="4CF84C29">
      <w:pPr>
        <w:spacing w:line="360" w:lineRule="auto"/>
        <w:rPr>
          <w:rFonts w:hint="eastAsia" w:eastAsia="宋体"/>
          <w:highlight w:val="none"/>
          <w:lang w:eastAsia="zh-CN"/>
        </w:rPr>
      </w:pPr>
      <w:r>
        <w:rPr>
          <w:rFonts w:hint="eastAsia"/>
          <w:highlight w:val="none"/>
        </w:rPr>
        <w:t>项目编号：</w:t>
      </w:r>
      <w:r>
        <w:rPr>
          <w:rFonts w:hint="eastAsia"/>
          <w:highlight w:val="none"/>
          <w:lang w:eastAsia="zh-CN"/>
        </w:rPr>
        <w:t>ZC-05-26036</w:t>
      </w:r>
    </w:p>
    <w:p w14:paraId="6C8E9017">
      <w:pPr>
        <w:spacing w:line="360" w:lineRule="auto"/>
        <w:rPr>
          <w:rFonts w:hint="eastAsia" w:eastAsia="宋体"/>
          <w:highlight w:val="none"/>
          <w:lang w:eastAsia="zh-CN"/>
        </w:rPr>
      </w:pPr>
      <w:r>
        <w:rPr>
          <w:rFonts w:hint="eastAsia"/>
          <w:highlight w:val="none"/>
        </w:rPr>
        <w:t>项目名称：</w:t>
      </w:r>
      <w:r>
        <w:rPr>
          <w:rFonts w:hint="eastAsia"/>
          <w:highlight w:val="none"/>
          <w:lang w:eastAsia="zh-CN"/>
        </w:rPr>
        <w:t>“十五五”建设用地减量化及一般耕地复垦实施方案</w:t>
      </w:r>
    </w:p>
    <w:p w14:paraId="343AC256">
      <w:pPr>
        <w:spacing w:line="360" w:lineRule="auto"/>
        <w:rPr>
          <w:rFonts w:hint="eastAsia"/>
          <w:highlight w:val="none"/>
        </w:rPr>
      </w:pPr>
      <w:r>
        <w:rPr>
          <w:rFonts w:hint="eastAsia"/>
          <w:highlight w:val="none"/>
        </w:rPr>
        <w:t>预算金额：</w:t>
      </w:r>
      <w:r>
        <w:rPr>
          <w:rFonts w:hint="eastAsia"/>
          <w:highlight w:val="none"/>
          <w:lang w:val="en-US" w:eastAsia="zh-CN"/>
        </w:rPr>
        <w:t>98</w:t>
      </w:r>
      <w:r>
        <w:rPr>
          <w:rFonts w:hint="eastAsia"/>
          <w:highlight w:val="none"/>
        </w:rPr>
        <w:t>万元（人民币）</w:t>
      </w:r>
    </w:p>
    <w:p w14:paraId="4D3E1A02">
      <w:pPr>
        <w:spacing w:line="360" w:lineRule="auto"/>
        <w:rPr>
          <w:rFonts w:hint="eastAsia"/>
          <w:highlight w:val="none"/>
        </w:rPr>
      </w:pPr>
      <w:r>
        <w:rPr>
          <w:rFonts w:hint="eastAsia"/>
          <w:highlight w:val="none"/>
        </w:rPr>
        <w:t>最高限价（如有）：</w:t>
      </w:r>
      <w:r>
        <w:rPr>
          <w:rFonts w:hint="eastAsia"/>
          <w:highlight w:val="none"/>
          <w:lang w:val="en-US" w:eastAsia="zh-CN"/>
        </w:rPr>
        <w:t>98</w:t>
      </w:r>
      <w:r>
        <w:rPr>
          <w:rFonts w:hint="eastAsia"/>
          <w:highlight w:val="none"/>
        </w:rPr>
        <w:t>万元（人民币）</w:t>
      </w:r>
    </w:p>
    <w:p w14:paraId="6278A47A">
      <w:pPr>
        <w:spacing w:line="360" w:lineRule="auto"/>
        <w:rPr>
          <w:rFonts w:hint="eastAsia"/>
          <w:highlight w:val="none"/>
        </w:rPr>
      </w:pPr>
      <w:r>
        <w:rPr>
          <w:rFonts w:hint="eastAsia"/>
          <w:highlight w:val="none"/>
        </w:rPr>
        <w:t>采购需求：</w:t>
      </w:r>
    </w:p>
    <w:p w14:paraId="494ACFC9">
      <w:pPr>
        <w:spacing w:line="360" w:lineRule="auto"/>
        <w:ind w:firstLine="480" w:firstLineChars="200"/>
        <w:rPr>
          <w:rFonts w:hint="eastAsia"/>
          <w:highlight w:val="none"/>
        </w:rPr>
      </w:pPr>
      <w:r>
        <w:rPr>
          <w:rFonts w:hint="eastAsia"/>
          <w:highlight w:val="none"/>
          <w:lang w:eastAsia="zh-CN"/>
        </w:rPr>
        <w:t>“十五五”建设用地减量化及一般耕地复垦实施方案</w:t>
      </w:r>
      <w:r>
        <w:rPr>
          <w:rFonts w:hint="eastAsia"/>
          <w:highlight w:val="none"/>
        </w:rPr>
        <w:t>，具体项目内容、</w:t>
      </w:r>
      <w:bookmarkStart w:id="142" w:name="_GoBack"/>
      <w:bookmarkEnd w:id="142"/>
      <w:r>
        <w:rPr>
          <w:rFonts w:hint="eastAsia"/>
          <w:highlight w:val="none"/>
        </w:rPr>
        <w:t>采购范围及所应达到的具体要求，以竞争性磋商文件相应规定为准。</w:t>
      </w:r>
    </w:p>
    <w:p w14:paraId="56122856">
      <w:pPr>
        <w:spacing w:line="360" w:lineRule="auto"/>
        <w:rPr>
          <w:rFonts w:hint="eastAsia" w:eastAsia="宋体"/>
          <w:highlight w:val="none"/>
          <w:lang w:eastAsia="zh-CN"/>
        </w:rPr>
      </w:pPr>
      <w:r>
        <w:rPr>
          <w:rFonts w:hint="eastAsia"/>
          <w:highlight w:val="none"/>
        </w:rPr>
        <w:t>合同履行期限：</w:t>
      </w:r>
      <w:r>
        <w:rPr>
          <w:rFonts w:hint="eastAsia"/>
          <w:highlight w:val="none"/>
          <w:lang w:eastAsia="zh-CN"/>
        </w:rPr>
        <w:t>合同签订后一年内提交最终成果</w:t>
      </w:r>
    </w:p>
    <w:p w14:paraId="11A24EAD">
      <w:pPr>
        <w:spacing w:line="360" w:lineRule="auto"/>
        <w:rPr>
          <w:rFonts w:hint="eastAsia"/>
          <w:highlight w:val="none"/>
        </w:rPr>
      </w:pPr>
      <w:r>
        <w:rPr>
          <w:rFonts w:hint="eastAsia"/>
          <w:highlight w:val="none"/>
        </w:rPr>
        <w:t>本项目( 不接受  )联合体投标。</w:t>
      </w:r>
    </w:p>
    <w:p w14:paraId="1AB0F7C0">
      <w:pPr>
        <w:spacing w:line="360" w:lineRule="auto"/>
        <w:rPr>
          <w:rFonts w:hint="eastAsia"/>
          <w:b/>
          <w:bCs/>
          <w:highlight w:val="none"/>
        </w:rPr>
      </w:pPr>
      <w:r>
        <w:rPr>
          <w:rFonts w:hint="eastAsia"/>
          <w:b/>
          <w:bCs/>
          <w:highlight w:val="none"/>
        </w:rPr>
        <w:t>二、申请人的资格要求：</w:t>
      </w:r>
    </w:p>
    <w:p w14:paraId="121D3D5F">
      <w:pPr>
        <w:spacing w:line="360" w:lineRule="auto"/>
        <w:rPr>
          <w:rFonts w:hint="eastAsia"/>
          <w:highlight w:val="none"/>
        </w:rPr>
      </w:pPr>
      <w:r>
        <w:rPr>
          <w:rFonts w:hint="eastAsia"/>
          <w:highlight w:val="none"/>
        </w:rPr>
        <w:t>1.满足《中华人民共和国政府采购法》第二十二条规定；</w:t>
      </w:r>
    </w:p>
    <w:p w14:paraId="06C816F8">
      <w:pPr>
        <w:spacing w:line="360" w:lineRule="auto"/>
        <w:rPr>
          <w:rFonts w:hint="eastAsia"/>
          <w:highlight w:val="none"/>
        </w:rPr>
      </w:pPr>
      <w:r>
        <w:rPr>
          <w:rFonts w:hint="eastAsia"/>
          <w:highlight w:val="none"/>
        </w:rPr>
        <w:t>2.落实政府采购政策需满足的资格要求：</w:t>
      </w:r>
    </w:p>
    <w:p w14:paraId="4525D713">
      <w:pPr>
        <w:spacing w:line="360" w:lineRule="auto"/>
        <w:rPr>
          <w:rFonts w:hint="eastAsia"/>
          <w:highlight w:val="none"/>
        </w:rPr>
      </w:pPr>
      <w:r>
        <w:rPr>
          <w:rFonts w:hint="eastAsia"/>
          <w:highlight w:val="none"/>
        </w:rPr>
        <w:t>本采购项目执行政府采购有关鼓励支持节能产品、环境认证产品以及支持中小企业、福利企业等的政策规定</w:t>
      </w:r>
    </w:p>
    <w:p w14:paraId="57B8C978">
      <w:pPr>
        <w:spacing w:line="360" w:lineRule="auto"/>
        <w:rPr>
          <w:rFonts w:hint="eastAsia"/>
          <w:highlight w:val="none"/>
        </w:rPr>
      </w:pPr>
      <w:r>
        <w:rPr>
          <w:rFonts w:hint="eastAsia"/>
          <w:highlight w:val="none"/>
        </w:rPr>
        <w:t>3.本项目的特定资格要求：</w:t>
      </w:r>
    </w:p>
    <w:p w14:paraId="6715EB11">
      <w:pPr>
        <w:pStyle w:val="21"/>
        <w:spacing w:line="360" w:lineRule="auto"/>
        <w:ind w:firstLine="0"/>
        <w:rPr>
          <w:rFonts w:hint="eastAsia"/>
          <w:highlight w:val="none"/>
        </w:rPr>
      </w:pPr>
      <w:r>
        <w:rPr>
          <w:rFonts w:hint="eastAsia"/>
          <w:highlight w:val="none"/>
        </w:rPr>
        <w:t>3.1响应文件提交截止时间前3年内未被列入“信用中国”网站(www.creditchina.gov.cn)失信被执行人名单、重大税收违法案件当事人名单、政府采购严重违法失信名单和中国政府采购网(www.ccgp.gov.cn)政府采购严重违法失信行为信息记录名单的供应商；</w:t>
      </w:r>
    </w:p>
    <w:p w14:paraId="4EE7C949">
      <w:pPr>
        <w:pStyle w:val="21"/>
        <w:spacing w:line="360" w:lineRule="auto"/>
        <w:ind w:firstLine="0"/>
        <w:rPr>
          <w:rFonts w:hint="eastAsia"/>
          <w:highlight w:val="none"/>
        </w:rPr>
      </w:pPr>
      <w:r>
        <w:rPr>
          <w:rFonts w:hint="eastAsia"/>
          <w:highlight w:val="none"/>
        </w:rPr>
        <w:t>3.2单位负责人为同一人或者存在控股、管理关系的不同投标人不得同时参加本项目投标；具有独立法人资格的集团、总公司等与其全资子公司、控股子公司之间资质、资金、业绩经验等均不得共享（分支机构除外）；</w:t>
      </w:r>
    </w:p>
    <w:p w14:paraId="2D21D4C1">
      <w:pPr>
        <w:pStyle w:val="21"/>
        <w:spacing w:line="360" w:lineRule="auto"/>
        <w:ind w:firstLine="0"/>
        <w:rPr>
          <w:rFonts w:hint="eastAsia"/>
          <w:highlight w:val="none"/>
        </w:rPr>
      </w:pPr>
      <w:r>
        <w:rPr>
          <w:rFonts w:hint="eastAsia"/>
          <w:highlight w:val="none"/>
        </w:rPr>
        <w:t>3.3中华人民共和国境内具有独立承担民事责任能力的法人（或法人依法设立并领取</w:t>
      </w:r>
      <w:r>
        <w:rPr>
          <w:rFonts w:hint="eastAsia"/>
          <w:highlight w:val="none"/>
        </w:rPr>
        <w:t>营业执照的分支机构）或非法人组织，以分支机构名义投标的，应当取得其法人单位的授权书，且法人与其分支机构不得同时参加同一合同项下的采购活动；</w:t>
      </w:r>
    </w:p>
    <w:p w14:paraId="41D87F7E">
      <w:pPr>
        <w:pStyle w:val="21"/>
        <w:spacing w:line="360" w:lineRule="auto"/>
        <w:ind w:firstLine="0"/>
        <w:rPr>
          <w:rFonts w:hint="default" w:eastAsia="宋体"/>
          <w:highlight w:val="none"/>
          <w:lang w:val="en-US" w:eastAsia="zh-CN"/>
        </w:rPr>
      </w:pPr>
      <w:r>
        <w:rPr>
          <w:rFonts w:hint="eastAsia"/>
          <w:highlight w:val="none"/>
          <w:lang w:val="en-US" w:eastAsia="zh-CN"/>
        </w:rPr>
        <w:t>3.4具备城乡规划编制乙级及以上资质；</w:t>
      </w:r>
    </w:p>
    <w:p w14:paraId="05EBC4C9">
      <w:pPr>
        <w:pStyle w:val="21"/>
        <w:spacing w:line="360" w:lineRule="auto"/>
        <w:ind w:firstLine="0"/>
        <w:rPr>
          <w:rFonts w:hint="eastAsia"/>
          <w:highlight w:val="none"/>
        </w:rPr>
      </w:pPr>
      <w:r>
        <w:rPr>
          <w:rFonts w:hint="eastAsia"/>
          <w:highlight w:val="none"/>
        </w:rPr>
        <w:t>3.</w:t>
      </w:r>
      <w:r>
        <w:rPr>
          <w:rFonts w:hint="eastAsia"/>
          <w:highlight w:val="none"/>
          <w:lang w:val="en-US" w:eastAsia="zh-CN"/>
        </w:rPr>
        <w:t>5</w:t>
      </w:r>
      <w:r>
        <w:rPr>
          <w:rFonts w:hint="eastAsia"/>
          <w:highlight w:val="none"/>
        </w:rPr>
        <w:t>本项目专门面向中小微企业采购。</w:t>
      </w:r>
    </w:p>
    <w:p w14:paraId="40E9103C">
      <w:pPr>
        <w:shd w:val="clear" w:color="auto" w:fill="FFFFFF"/>
        <w:spacing w:line="360" w:lineRule="auto"/>
        <w:textAlignment w:val="baseline"/>
        <w:rPr>
          <w:rFonts w:hint="eastAsia"/>
          <w:color w:val="383838"/>
          <w:highlight w:val="none"/>
        </w:rPr>
      </w:pPr>
      <w:r>
        <w:rPr>
          <w:rFonts w:hint="eastAsia"/>
          <w:b/>
          <w:bCs/>
          <w:color w:val="383838"/>
          <w:highlight w:val="none"/>
        </w:rPr>
        <w:t>三、获取招标文件</w:t>
      </w:r>
    </w:p>
    <w:p w14:paraId="4820B6FF">
      <w:pPr>
        <w:spacing w:line="360" w:lineRule="auto"/>
        <w:rPr>
          <w:rFonts w:hint="eastAsia"/>
          <w:highlight w:val="none"/>
        </w:rPr>
      </w:pPr>
      <w:r>
        <w:rPr>
          <w:rFonts w:hint="eastAsia"/>
          <w:highlight w:val="none"/>
        </w:rPr>
        <w:t>时间</w:t>
      </w:r>
      <w:r>
        <w:rPr>
          <w:rFonts w:hint="eastAsia"/>
          <w:highlight w:val="none"/>
        </w:rPr>
        <w:t>：</w:t>
      </w:r>
      <w:r>
        <w:rPr>
          <w:rFonts w:hint="eastAsia"/>
          <w:color w:val="383838"/>
          <w:highlight w:val="none"/>
        </w:rPr>
        <w:t>2026年</w:t>
      </w:r>
      <w:r>
        <w:rPr>
          <w:rFonts w:hint="eastAsia"/>
          <w:color w:val="383838"/>
          <w:highlight w:val="none"/>
          <w:lang w:val="en-US" w:eastAsia="zh-CN"/>
        </w:rPr>
        <w:t>6</w:t>
      </w:r>
      <w:r>
        <w:rPr>
          <w:rFonts w:hint="eastAsia"/>
          <w:color w:val="383838"/>
          <w:highlight w:val="none"/>
        </w:rPr>
        <w:t>月</w:t>
      </w:r>
      <w:r>
        <w:rPr>
          <w:rFonts w:hint="eastAsia"/>
          <w:color w:val="383838"/>
          <w:highlight w:val="none"/>
          <w:lang w:val="en-US" w:eastAsia="zh-CN"/>
        </w:rPr>
        <w:t>15</w:t>
      </w:r>
      <w:r>
        <w:rPr>
          <w:rFonts w:hint="eastAsia"/>
          <w:color w:val="383838"/>
          <w:highlight w:val="none"/>
        </w:rPr>
        <w:t>日</w:t>
      </w:r>
      <w:r>
        <w:rPr>
          <w:rFonts w:hint="eastAsia"/>
          <w:highlight w:val="none"/>
        </w:rPr>
        <w:t>至</w:t>
      </w:r>
      <w:r>
        <w:rPr>
          <w:rFonts w:hint="eastAsia"/>
          <w:color w:val="383838"/>
          <w:highlight w:val="none"/>
        </w:rPr>
        <w:t>2026年</w:t>
      </w:r>
      <w:r>
        <w:rPr>
          <w:rFonts w:hint="eastAsia"/>
          <w:color w:val="383838"/>
          <w:highlight w:val="none"/>
          <w:lang w:val="en-US" w:eastAsia="zh-CN"/>
        </w:rPr>
        <w:t>6</w:t>
      </w:r>
      <w:r>
        <w:rPr>
          <w:rFonts w:hint="eastAsia"/>
          <w:color w:val="383838"/>
          <w:highlight w:val="none"/>
        </w:rPr>
        <w:t>月</w:t>
      </w:r>
      <w:r>
        <w:rPr>
          <w:rFonts w:hint="eastAsia"/>
          <w:color w:val="383838"/>
          <w:highlight w:val="none"/>
          <w:lang w:val="en-US" w:eastAsia="zh-CN"/>
        </w:rPr>
        <w:t>22</w:t>
      </w:r>
      <w:r>
        <w:rPr>
          <w:rFonts w:hint="eastAsia"/>
          <w:color w:val="383838"/>
          <w:highlight w:val="none"/>
        </w:rPr>
        <w:t>日</w:t>
      </w:r>
      <w:r>
        <w:rPr>
          <w:rFonts w:hint="eastAsia"/>
          <w:highlight w:val="none"/>
        </w:rPr>
        <w:t>，工作日每天上午9:00至11:00，下午13:00至16:00。（北京时间，法定节假日除外）</w:t>
      </w:r>
    </w:p>
    <w:p w14:paraId="2A192F60">
      <w:pPr>
        <w:pStyle w:val="21"/>
        <w:spacing w:line="360" w:lineRule="auto"/>
        <w:ind w:firstLine="0"/>
        <w:rPr>
          <w:rFonts w:hint="eastAsia"/>
          <w:highlight w:val="none"/>
        </w:rPr>
      </w:pPr>
      <w:r>
        <w:rPr>
          <w:rFonts w:hint="eastAsia"/>
          <w:highlight w:val="none"/>
        </w:rPr>
        <w:t>方式：符合资格的供应商应当在上述期间（上午9:00-11:00,下午13:00-16:00，法定节假日除外）携带以下资料前往上海科瑞真诚建设项目管理有限公司（上海市松江区鼎源路618弄79号）进行现场报名（文件费600.00元/份）：（1）营业执照的原件</w:t>
      </w:r>
      <w:r>
        <w:rPr>
          <w:rFonts w:hint="eastAsia"/>
          <w:highlight w:val="none"/>
        </w:rPr>
        <w:t>及加盖单位公章的复印件；</w:t>
      </w:r>
      <w:r>
        <w:rPr>
          <w:rFonts w:hint="eastAsia"/>
          <w:highlight w:val="none"/>
          <w:lang w:eastAsia="zh-CN"/>
        </w:rPr>
        <w:t>（</w:t>
      </w:r>
      <w:r>
        <w:rPr>
          <w:rFonts w:hint="eastAsia"/>
          <w:highlight w:val="none"/>
          <w:lang w:val="en-US" w:eastAsia="zh-CN"/>
        </w:rPr>
        <w:t>2</w:t>
      </w:r>
      <w:r>
        <w:rPr>
          <w:rFonts w:hint="eastAsia"/>
          <w:highlight w:val="none"/>
          <w:lang w:eastAsia="zh-CN"/>
        </w:rPr>
        <w:t>）</w:t>
      </w:r>
      <w:r>
        <w:rPr>
          <w:rFonts w:hint="eastAsia"/>
          <w:highlight w:val="none"/>
          <w:lang w:val="en-US" w:eastAsia="zh-CN"/>
        </w:rPr>
        <w:t>资质证书</w:t>
      </w:r>
      <w:r>
        <w:rPr>
          <w:rFonts w:hint="eastAsia"/>
          <w:highlight w:val="none"/>
        </w:rPr>
        <w:t>的原件及加盖单位公章的复印件；（</w:t>
      </w:r>
      <w:r>
        <w:rPr>
          <w:rFonts w:hint="eastAsia"/>
          <w:highlight w:val="none"/>
          <w:lang w:val="en-US" w:eastAsia="zh-CN"/>
        </w:rPr>
        <w:t>3</w:t>
      </w:r>
      <w:r>
        <w:rPr>
          <w:rFonts w:hint="eastAsia"/>
          <w:highlight w:val="none"/>
        </w:rPr>
        <w:t>）若</w:t>
      </w:r>
      <w:r>
        <w:rPr>
          <w:rFonts w:hint="eastAsia"/>
          <w:highlight w:val="none"/>
        </w:rPr>
        <w:t>以分支机构名义投标的，应当取得其法人单位的授权书；（</w:t>
      </w:r>
      <w:r>
        <w:rPr>
          <w:rFonts w:hint="eastAsia"/>
          <w:highlight w:val="none"/>
          <w:lang w:val="en-US" w:eastAsia="zh-CN"/>
        </w:rPr>
        <w:t>4</w:t>
      </w:r>
      <w:r>
        <w:rPr>
          <w:rFonts w:hint="eastAsia"/>
          <w:highlight w:val="none"/>
        </w:rPr>
        <w:t>）财务状况及税收、社会保障资金缴纳情况声明函；（</w:t>
      </w:r>
      <w:r>
        <w:rPr>
          <w:rFonts w:hint="eastAsia"/>
          <w:highlight w:val="none"/>
          <w:lang w:val="en-US" w:eastAsia="zh-CN"/>
        </w:rPr>
        <w:t>5</w:t>
      </w:r>
      <w:r>
        <w:rPr>
          <w:rFonts w:hint="eastAsia"/>
          <w:highlight w:val="none"/>
        </w:rPr>
        <w:t>）法人代表授权书（盖公章和法人签章）和被授权代表人身份证及被被授权代表人在本单位最新一期社保缴纳证明（报名当月不计），或法人证明书（盖公章）和法定代表人身份证。以上资料的复印件必须加盖单位公章（ 采用A4 纸张），证件原件审阅后退回。如有缺漏，招标代理将拒绝接受其报名。报名时提供的资料应与投标文件中的资格证明文件一致，投标人的</w:t>
      </w:r>
      <w:r>
        <w:rPr>
          <w:rFonts w:hint="eastAsia"/>
          <w:highlight w:val="none"/>
        </w:rPr>
        <w:t>资格合格与否，将由评标委员会决定。</w:t>
      </w:r>
    </w:p>
    <w:p w14:paraId="233B4E71">
      <w:pPr>
        <w:pStyle w:val="21"/>
        <w:spacing w:line="360" w:lineRule="auto"/>
        <w:ind w:firstLine="0"/>
        <w:rPr>
          <w:rFonts w:hint="eastAsia"/>
          <w:b/>
          <w:bCs/>
          <w:highlight w:val="none"/>
        </w:rPr>
      </w:pPr>
      <w:r>
        <w:rPr>
          <w:rFonts w:hint="eastAsia"/>
          <w:b/>
          <w:bCs/>
          <w:highlight w:val="none"/>
        </w:rPr>
        <w:t>四、响应文件提交</w:t>
      </w:r>
    </w:p>
    <w:p w14:paraId="353D135A">
      <w:pPr>
        <w:pStyle w:val="21"/>
        <w:spacing w:line="360" w:lineRule="auto"/>
        <w:ind w:firstLine="0"/>
        <w:rPr>
          <w:rFonts w:hint="eastAsia"/>
          <w:highlight w:val="none"/>
        </w:rPr>
      </w:pPr>
      <w:r>
        <w:rPr>
          <w:rFonts w:hint="eastAsia"/>
          <w:highlight w:val="none"/>
        </w:rPr>
        <w:t>截止时间：</w:t>
      </w:r>
      <w:r>
        <w:rPr>
          <w:rFonts w:hint="eastAsia"/>
          <w:color w:val="383838"/>
          <w:highlight w:val="none"/>
        </w:rPr>
        <w:t>2026年</w:t>
      </w:r>
      <w:r>
        <w:rPr>
          <w:rFonts w:hint="eastAsia"/>
          <w:color w:val="383838"/>
          <w:highlight w:val="none"/>
          <w:lang w:val="en-US" w:eastAsia="zh-CN"/>
        </w:rPr>
        <w:t>6</w:t>
      </w:r>
      <w:r>
        <w:rPr>
          <w:rFonts w:hint="eastAsia"/>
          <w:color w:val="383838"/>
          <w:highlight w:val="none"/>
        </w:rPr>
        <w:t>月</w:t>
      </w:r>
      <w:r>
        <w:rPr>
          <w:rFonts w:hint="eastAsia"/>
          <w:color w:val="383838"/>
          <w:highlight w:val="none"/>
          <w:lang w:val="en-US" w:eastAsia="zh-CN"/>
        </w:rPr>
        <w:t>25</w:t>
      </w:r>
      <w:r>
        <w:rPr>
          <w:rFonts w:hint="eastAsia"/>
          <w:color w:val="383838"/>
          <w:highlight w:val="none"/>
        </w:rPr>
        <w:t>日</w:t>
      </w:r>
      <w:r>
        <w:rPr>
          <w:rFonts w:hint="eastAsia"/>
          <w:highlight w:val="none"/>
          <w:lang w:val="en-US" w:eastAsia="zh-CN"/>
        </w:rPr>
        <w:t>13</w:t>
      </w:r>
      <w:r>
        <w:rPr>
          <w:rFonts w:hint="eastAsia"/>
          <w:highlight w:val="none"/>
        </w:rPr>
        <w:t>点</w:t>
      </w:r>
      <w:r>
        <w:rPr>
          <w:rFonts w:hint="eastAsia"/>
          <w:highlight w:val="none"/>
          <w:lang w:val="en-US" w:eastAsia="zh-CN"/>
        </w:rPr>
        <w:t>3</w:t>
      </w:r>
      <w:r>
        <w:rPr>
          <w:rFonts w:hint="eastAsia"/>
          <w:highlight w:val="none"/>
        </w:rPr>
        <w:t>0分（北京时间）</w:t>
      </w:r>
    </w:p>
    <w:p w14:paraId="031C366C">
      <w:pPr>
        <w:pStyle w:val="21"/>
        <w:spacing w:line="360" w:lineRule="auto"/>
        <w:ind w:firstLine="0"/>
        <w:rPr>
          <w:rFonts w:hint="eastAsia"/>
          <w:highlight w:val="none"/>
        </w:rPr>
      </w:pPr>
      <w:r>
        <w:rPr>
          <w:rFonts w:hint="eastAsia"/>
          <w:highlight w:val="none"/>
        </w:rPr>
        <w:t>地点：上海市松江区鼎源路618弄79号</w:t>
      </w:r>
    </w:p>
    <w:p w14:paraId="6C606EBA">
      <w:pPr>
        <w:pStyle w:val="21"/>
        <w:spacing w:line="360" w:lineRule="auto"/>
        <w:ind w:firstLine="0"/>
        <w:rPr>
          <w:rFonts w:hint="eastAsia"/>
          <w:b/>
          <w:bCs/>
          <w:highlight w:val="none"/>
        </w:rPr>
      </w:pPr>
      <w:r>
        <w:rPr>
          <w:rFonts w:hint="eastAsia"/>
          <w:b/>
          <w:bCs/>
          <w:highlight w:val="none"/>
        </w:rPr>
        <w:t>五、开标及磋商</w:t>
      </w:r>
    </w:p>
    <w:p w14:paraId="4A84B6D4">
      <w:pPr>
        <w:pStyle w:val="21"/>
        <w:spacing w:line="360" w:lineRule="auto"/>
        <w:ind w:firstLine="0"/>
        <w:rPr>
          <w:rFonts w:hint="eastAsia"/>
          <w:highlight w:val="none"/>
        </w:rPr>
      </w:pPr>
      <w:r>
        <w:rPr>
          <w:rFonts w:hint="eastAsia"/>
          <w:highlight w:val="none"/>
        </w:rPr>
        <w:t>时间：</w:t>
      </w:r>
      <w:r>
        <w:rPr>
          <w:rFonts w:hint="eastAsia"/>
          <w:color w:val="383838"/>
          <w:highlight w:val="none"/>
        </w:rPr>
        <w:t>2026年</w:t>
      </w:r>
      <w:r>
        <w:rPr>
          <w:rFonts w:hint="eastAsia"/>
          <w:color w:val="383838"/>
          <w:highlight w:val="none"/>
          <w:lang w:val="en-US" w:eastAsia="zh-CN"/>
        </w:rPr>
        <w:t>6</w:t>
      </w:r>
      <w:r>
        <w:rPr>
          <w:rFonts w:hint="eastAsia"/>
          <w:color w:val="383838"/>
          <w:highlight w:val="none"/>
        </w:rPr>
        <w:t>月</w:t>
      </w:r>
      <w:r>
        <w:rPr>
          <w:rFonts w:hint="eastAsia"/>
          <w:color w:val="383838"/>
          <w:highlight w:val="none"/>
          <w:lang w:val="en-US" w:eastAsia="zh-CN"/>
        </w:rPr>
        <w:t>25</w:t>
      </w:r>
      <w:r>
        <w:rPr>
          <w:rFonts w:hint="eastAsia"/>
          <w:color w:val="383838"/>
          <w:highlight w:val="none"/>
        </w:rPr>
        <w:t>日</w:t>
      </w:r>
      <w:r>
        <w:rPr>
          <w:rFonts w:hint="eastAsia"/>
          <w:highlight w:val="none"/>
          <w:lang w:val="en-US" w:eastAsia="zh-CN"/>
        </w:rPr>
        <w:t>13</w:t>
      </w:r>
      <w:r>
        <w:rPr>
          <w:rFonts w:hint="eastAsia"/>
          <w:highlight w:val="none"/>
        </w:rPr>
        <w:t>点</w:t>
      </w:r>
      <w:r>
        <w:rPr>
          <w:rFonts w:hint="eastAsia"/>
          <w:highlight w:val="none"/>
          <w:lang w:val="en-US" w:eastAsia="zh-CN"/>
        </w:rPr>
        <w:t>3</w:t>
      </w:r>
      <w:r>
        <w:rPr>
          <w:rFonts w:hint="eastAsia"/>
          <w:highlight w:val="none"/>
        </w:rPr>
        <w:t>0分（北京时间）</w:t>
      </w:r>
    </w:p>
    <w:p w14:paraId="6066CB17">
      <w:pPr>
        <w:pStyle w:val="21"/>
        <w:spacing w:line="360" w:lineRule="auto"/>
        <w:ind w:firstLine="0"/>
        <w:rPr>
          <w:rFonts w:hint="eastAsia"/>
          <w:highlight w:val="none"/>
        </w:rPr>
      </w:pPr>
      <w:r>
        <w:rPr>
          <w:rFonts w:hint="eastAsia"/>
          <w:highlight w:val="none"/>
        </w:rPr>
        <w:t>地点：上海市松江区鼎源路618弄</w:t>
      </w:r>
      <w:r>
        <w:rPr>
          <w:rFonts w:hint="eastAsia"/>
          <w:highlight w:val="none"/>
        </w:rPr>
        <w:t>79号</w:t>
      </w:r>
    </w:p>
    <w:p w14:paraId="628A16A8">
      <w:pPr>
        <w:pStyle w:val="21"/>
        <w:spacing w:line="360" w:lineRule="auto"/>
        <w:ind w:firstLine="0"/>
        <w:rPr>
          <w:rFonts w:hint="eastAsia"/>
          <w:b/>
          <w:bCs/>
          <w:highlight w:val="none"/>
        </w:rPr>
      </w:pPr>
      <w:r>
        <w:rPr>
          <w:rFonts w:hint="eastAsia"/>
          <w:b/>
          <w:bCs/>
          <w:highlight w:val="none"/>
        </w:rPr>
        <w:t>六、其他补充事宜</w:t>
      </w:r>
    </w:p>
    <w:p w14:paraId="66941B0C">
      <w:pPr>
        <w:pStyle w:val="21"/>
        <w:spacing w:line="360" w:lineRule="auto"/>
        <w:ind w:left="240" w:hanging="240" w:hangingChars="100"/>
        <w:rPr>
          <w:rFonts w:hint="eastAsia"/>
          <w:highlight w:val="none"/>
        </w:rPr>
      </w:pPr>
      <w:r>
        <w:rPr>
          <w:rFonts w:hint="eastAsia"/>
          <w:highlight w:val="none"/>
        </w:rPr>
        <w:t>本次采购公告及变更事项（若有）仅在“松江门户网站https://www.songjiang.gov.cn/”发布，请各供应商及时关注。其他网站转载、复制、其他途径发布的与本次采购项目有关的任何信息，本公司都不予认可。</w:t>
      </w:r>
    </w:p>
    <w:p w14:paraId="5ADE8A67">
      <w:pPr>
        <w:pStyle w:val="21"/>
        <w:widowControl w:val="0"/>
        <w:spacing w:line="360" w:lineRule="auto"/>
        <w:ind w:firstLine="0"/>
        <w:jc w:val="both"/>
        <w:rPr>
          <w:rFonts w:hint="eastAsia" w:cs="Times New Roman"/>
          <w:b/>
          <w:bCs/>
          <w:kern w:val="2"/>
          <w:highlight w:val="none"/>
        </w:rPr>
      </w:pPr>
      <w:r>
        <w:rPr>
          <w:rFonts w:hint="eastAsia" w:cs="Times New Roman"/>
          <w:b/>
          <w:bCs/>
          <w:kern w:val="2"/>
          <w:highlight w:val="none"/>
        </w:rPr>
        <w:t>七、凡对本次采购提出询问，请按以下方式联系。</w:t>
      </w:r>
    </w:p>
    <w:p w14:paraId="2670729A">
      <w:pPr>
        <w:adjustRightInd w:val="0"/>
        <w:snapToGrid w:val="0"/>
        <w:spacing w:line="360" w:lineRule="auto"/>
        <w:ind w:firstLine="480" w:firstLineChars="200"/>
        <w:rPr>
          <w:rFonts w:hint="eastAsia"/>
          <w:highlight w:val="none"/>
        </w:rPr>
      </w:pPr>
      <w:r>
        <w:rPr>
          <w:rFonts w:hint="eastAsia"/>
          <w:highlight w:val="none"/>
        </w:rPr>
        <w:t>1.采购人信息</w:t>
      </w:r>
    </w:p>
    <w:p w14:paraId="42E947FA">
      <w:pPr>
        <w:adjustRightInd w:val="0"/>
        <w:snapToGrid w:val="0"/>
        <w:spacing w:line="360" w:lineRule="auto"/>
        <w:ind w:firstLine="480" w:firstLineChars="200"/>
        <w:rPr>
          <w:rFonts w:hint="eastAsia" w:eastAsia="宋体"/>
          <w:highlight w:val="none"/>
          <w:lang w:eastAsia="zh-CN"/>
        </w:rPr>
      </w:pPr>
      <w:r>
        <w:rPr>
          <w:rFonts w:hint="eastAsia"/>
          <w:highlight w:val="none"/>
        </w:rPr>
        <w:t>名 称：</w:t>
      </w:r>
      <w:r>
        <w:rPr>
          <w:rFonts w:hint="eastAsia"/>
          <w:highlight w:val="none"/>
          <w:lang w:eastAsia="zh-CN"/>
        </w:rPr>
        <w:t>上海市松江区土地储备和土地整理中心</w:t>
      </w:r>
    </w:p>
    <w:p w14:paraId="0A7B06FC">
      <w:pPr>
        <w:adjustRightInd w:val="0"/>
        <w:snapToGrid w:val="0"/>
        <w:spacing w:line="360" w:lineRule="auto"/>
        <w:ind w:firstLine="480" w:firstLineChars="200"/>
        <w:rPr>
          <w:rFonts w:hint="eastAsia"/>
          <w:highlight w:val="none"/>
        </w:rPr>
      </w:pPr>
      <w:r>
        <w:rPr>
          <w:rFonts w:hint="eastAsia"/>
          <w:highlight w:val="none"/>
        </w:rPr>
        <w:t>地址：</w:t>
      </w:r>
      <w:r>
        <w:rPr>
          <w:rFonts w:hint="eastAsia"/>
          <w:highlight w:val="none"/>
          <w:lang w:eastAsia="zh-CN"/>
        </w:rPr>
        <w:t>上海市松江区荣乐东路2111号建设大厦2号楼</w:t>
      </w:r>
      <w:r>
        <w:rPr>
          <w:rFonts w:hint="eastAsia"/>
          <w:highlight w:val="none"/>
        </w:rPr>
        <w:t>　　　　　　　</w:t>
      </w:r>
    </w:p>
    <w:p w14:paraId="2CC797C3">
      <w:pPr>
        <w:adjustRightInd w:val="0"/>
        <w:snapToGrid w:val="0"/>
        <w:spacing w:line="360" w:lineRule="auto"/>
        <w:ind w:firstLine="480" w:firstLineChars="200"/>
        <w:rPr>
          <w:rFonts w:hint="eastAsia"/>
          <w:highlight w:val="none"/>
        </w:rPr>
      </w:pPr>
      <w:r>
        <w:rPr>
          <w:rFonts w:hint="eastAsia"/>
          <w:highlight w:val="none"/>
        </w:rPr>
        <w:t>联系方式：</w:t>
      </w:r>
      <w:r>
        <w:rPr>
          <w:rFonts w:hint="eastAsia"/>
          <w:highlight w:val="none"/>
          <w:lang w:eastAsia="zh-CN"/>
        </w:rPr>
        <w:t>朱老师</w:t>
      </w:r>
      <w:r>
        <w:rPr>
          <w:rFonts w:hint="eastAsia"/>
          <w:highlight w:val="none"/>
        </w:rPr>
        <w:t>，</w:t>
      </w:r>
      <w:r>
        <w:rPr>
          <w:rFonts w:hint="eastAsia"/>
          <w:highlight w:val="none"/>
          <w:lang w:eastAsia="zh-CN"/>
        </w:rPr>
        <w:t>021-57741058</w:t>
      </w:r>
      <w:r>
        <w:rPr>
          <w:rFonts w:hint="eastAsia"/>
          <w:highlight w:val="none"/>
        </w:rPr>
        <w:t>　　　</w:t>
      </w:r>
      <w:r>
        <w:rPr>
          <w:rFonts w:hint="eastAsia"/>
          <w:highlight w:val="none"/>
        </w:rPr>
        <w:t>　　　</w:t>
      </w:r>
    </w:p>
    <w:p w14:paraId="0015DFBF">
      <w:pPr>
        <w:adjustRightInd w:val="0"/>
        <w:snapToGrid w:val="0"/>
        <w:spacing w:line="360" w:lineRule="auto"/>
        <w:ind w:firstLine="480" w:firstLineChars="200"/>
        <w:rPr>
          <w:rFonts w:hint="eastAsia"/>
          <w:highlight w:val="none"/>
        </w:rPr>
      </w:pPr>
      <w:r>
        <w:rPr>
          <w:rFonts w:hint="eastAsia"/>
          <w:highlight w:val="none"/>
        </w:rPr>
        <w:t>2.采购代理机构信息</w:t>
      </w:r>
    </w:p>
    <w:p w14:paraId="623555F0">
      <w:pPr>
        <w:adjustRightInd w:val="0"/>
        <w:snapToGrid w:val="0"/>
        <w:spacing w:line="360" w:lineRule="auto"/>
        <w:ind w:firstLine="480" w:firstLineChars="200"/>
        <w:rPr>
          <w:rFonts w:hint="eastAsia"/>
          <w:highlight w:val="none"/>
        </w:rPr>
      </w:pPr>
      <w:r>
        <w:rPr>
          <w:rFonts w:hint="eastAsia"/>
          <w:highlight w:val="none"/>
        </w:rPr>
        <w:t>名 称：上海科瑞真诚建设项目管理有限公司　　　　　　　　　　　　</w:t>
      </w:r>
    </w:p>
    <w:p w14:paraId="332EB0D5">
      <w:pPr>
        <w:adjustRightInd w:val="0"/>
        <w:snapToGrid w:val="0"/>
        <w:spacing w:line="360" w:lineRule="auto"/>
        <w:ind w:firstLine="480" w:firstLineChars="200"/>
        <w:rPr>
          <w:rFonts w:hint="eastAsia"/>
          <w:highlight w:val="none"/>
        </w:rPr>
      </w:pPr>
      <w:r>
        <w:rPr>
          <w:rFonts w:hint="eastAsia"/>
          <w:highlight w:val="none"/>
        </w:rPr>
        <w:t>地　址：上海市松江区鼎源路618弄79号1楼　　　　　　　　　　　　</w:t>
      </w:r>
    </w:p>
    <w:p w14:paraId="214297EC">
      <w:pPr>
        <w:adjustRightInd w:val="0"/>
        <w:snapToGrid w:val="0"/>
        <w:spacing w:line="360" w:lineRule="auto"/>
        <w:ind w:firstLine="480" w:firstLineChars="200"/>
        <w:rPr>
          <w:rFonts w:hint="eastAsia"/>
          <w:highlight w:val="none"/>
        </w:rPr>
      </w:pPr>
      <w:r>
        <w:rPr>
          <w:rFonts w:hint="eastAsia"/>
          <w:highlight w:val="none"/>
        </w:rPr>
        <w:t>联系方式：黄磊，021-67721110　　　　　　　　　　　　</w:t>
      </w:r>
    </w:p>
    <w:p w14:paraId="12CB0996">
      <w:pPr>
        <w:adjustRightInd w:val="0"/>
        <w:snapToGrid w:val="0"/>
        <w:spacing w:line="360" w:lineRule="auto"/>
        <w:ind w:firstLine="480" w:firstLineChars="200"/>
        <w:rPr>
          <w:rFonts w:hint="eastAsia"/>
          <w:highlight w:val="none"/>
        </w:rPr>
      </w:pPr>
      <w:r>
        <w:rPr>
          <w:rFonts w:hint="eastAsia"/>
          <w:highlight w:val="none"/>
        </w:rPr>
        <w:t>3.项目联系方式</w:t>
      </w:r>
    </w:p>
    <w:p w14:paraId="123B7299">
      <w:pPr>
        <w:adjustRightInd w:val="0"/>
        <w:snapToGrid w:val="0"/>
        <w:spacing w:line="360" w:lineRule="auto"/>
        <w:ind w:firstLine="480" w:firstLineChars="200"/>
        <w:rPr>
          <w:rFonts w:hint="eastAsia"/>
          <w:highlight w:val="none"/>
        </w:rPr>
      </w:pPr>
      <w:r>
        <w:rPr>
          <w:rFonts w:hint="eastAsia"/>
          <w:highlight w:val="none"/>
        </w:rPr>
        <w:t>项目联系人：黄磊</w:t>
      </w:r>
    </w:p>
    <w:p w14:paraId="0DA8066A">
      <w:pPr>
        <w:adjustRightInd w:val="0"/>
        <w:snapToGrid w:val="0"/>
        <w:spacing w:line="360" w:lineRule="auto"/>
        <w:ind w:firstLine="480" w:firstLineChars="200"/>
        <w:rPr>
          <w:rFonts w:hint="eastAsia"/>
          <w:highlight w:val="none"/>
        </w:rPr>
      </w:pPr>
      <w:r>
        <w:rPr>
          <w:rFonts w:hint="eastAsia"/>
          <w:highlight w:val="none"/>
        </w:rPr>
        <w:t>电　话： 67721110</w:t>
      </w:r>
    </w:p>
    <w:p w14:paraId="020AD825">
      <w:pPr>
        <w:spacing w:line="360" w:lineRule="auto"/>
        <w:rPr>
          <w:rFonts w:hint="eastAsia"/>
          <w:highlight w:val="none"/>
        </w:rPr>
      </w:pPr>
      <w:r>
        <w:rPr>
          <w:highlight w:val="none"/>
        </w:rPr>
        <w:br w:type="page"/>
      </w:r>
    </w:p>
    <w:p w14:paraId="7512A96D">
      <w:pPr>
        <w:pStyle w:val="3"/>
        <w:spacing w:line="360" w:lineRule="auto"/>
        <w:rPr>
          <w:rFonts w:hint="eastAsia" w:ascii="宋体" w:hAnsi="宋体"/>
          <w:bCs/>
          <w:sz w:val="48"/>
          <w:szCs w:val="48"/>
          <w:highlight w:val="none"/>
        </w:rPr>
      </w:pPr>
      <w:bookmarkStart w:id="12" w:name="_Toc72335494"/>
      <w:bookmarkStart w:id="13" w:name="_Toc11708"/>
      <w:r>
        <w:rPr>
          <w:rFonts w:hint="eastAsia" w:ascii="宋体" w:hAnsi="宋体"/>
          <w:bCs/>
          <w:sz w:val="48"/>
          <w:szCs w:val="48"/>
          <w:highlight w:val="none"/>
        </w:rPr>
        <w:t>第二部分  投标人须知及前附表</w:t>
      </w:r>
      <w:bookmarkEnd w:id="12"/>
      <w:bookmarkEnd w:id="13"/>
    </w:p>
    <w:p w14:paraId="67FABE52">
      <w:pPr>
        <w:pStyle w:val="25"/>
        <w:spacing w:line="360" w:lineRule="auto"/>
        <w:jc w:val="center"/>
        <w:rPr>
          <w:rFonts w:hint="eastAsia"/>
          <w:highlight w:val="none"/>
        </w:rPr>
      </w:pPr>
      <w:bookmarkStart w:id="14" w:name="_Toc286995512"/>
      <w:bookmarkStart w:id="15" w:name="_Toc525206734"/>
      <w:bookmarkStart w:id="16" w:name="_Toc525206980"/>
      <w:bookmarkStart w:id="17" w:name="_Toc525206857"/>
      <w:bookmarkStart w:id="18" w:name="_Toc154304366"/>
      <w:bookmarkStart w:id="19" w:name="_Toc525368241"/>
      <w:r>
        <w:rPr>
          <w:rFonts w:hint="eastAsia"/>
          <w:sz w:val="28"/>
          <w:szCs w:val="28"/>
          <w:highlight w:val="none"/>
        </w:rPr>
        <w:t>投标人须知前附表</w:t>
      </w:r>
      <w:bookmarkEnd w:id="14"/>
      <w:bookmarkEnd w:id="15"/>
      <w:bookmarkEnd w:id="16"/>
      <w:bookmarkEnd w:id="17"/>
      <w:bookmarkEnd w:id="18"/>
      <w:bookmarkEnd w:id="19"/>
    </w:p>
    <w:p w14:paraId="19644D26">
      <w:pPr>
        <w:spacing w:line="360" w:lineRule="auto"/>
        <w:rPr>
          <w:rFonts w:hint="eastAsia"/>
          <w:b/>
          <w:bCs/>
          <w:highlight w:val="none"/>
        </w:rPr>
      </w:pPr>
      <w:r>
        <w:rPr>
          <w:rFonts w:hint="eastAsia"/>
          <w:b/>
          <w:bCs/>
          <w:highlight w:val="none"/>
        </w:rPr>
        <w:t>一、项目情况</w:t>
      </w:r>
    </w:p>
    <w:p w14:paraId="37F059DC">
      <w:pPr>
        <w:spacing w:line="360" w:lineRule="auto"/>
        <w:rPr>
          <w:rFonts w:hint="eastAsia" w:eastAsia="宋体"/>
          <w:highlight w:val="none"/>
          <w:lang w:eastAsia="zh-CN"/>
        </w:rPr>
      </w:pPr>
      <w:r>
        <w:rPr>
          <w:rFonts w:hint="eastAsia"/>
          <w:highlight w:val="none"/>
        </w:rPr>
        <w:t>项目名称:</w:t>
      </w:r>
      <w:r>
        <w:rPr>
          <w:rFonts w:hint="eastAsia"/>
          <w:highlight w:val="none"/>
          <w:lang w:eastAsia="zh-CN"/>
        </w:rPr>
        <w:t>“十五五”建设用地减量化及一般耕地复垦实施方案</w:t>
      </w:r>
    </w:p>
    <w:p w14:paraId="1AB42976">
      <w:pPr>
        <w:spacing w:line="360" w:lineRule="auto"/>
        <w:rPr>
          <w:rFonts w:hint="eastAsia"/>
          <w:highlight w:val="none"/>
        </w:rPr>
      </w:pPr>
      <w:r>
        <w:rPr>
          <w:rFonts w:hint="eastAsia"/>
          <w:highlight w:val="none"/>
        </w:rPr>
        <w:t>项目编号: 详见采购公告</w:t>
      </w:r>
    </w:p>
    <w:p w14:paraId="0CA753DC">
      <w:pPr>
        <w:spacing w:line="360" w:lineRule="auto"/>
        <w:rPr>
          <w:rFonts w:hint="eastAsia"/>
          <w:highlight w:val="none"/>
        </w:rPr>
      </w:pPr>
      <w:r>
        <w:rPr>
          <w:rFonts w:hint="eastAsia"/>
          <w:highlight w:val="none"/>
        </w:rPr>
        <w:t>项目地址：招标人指定地点</w:t>
      </w:r>
    </w:p>
    <w:p w14:paraId="0A48D70C">
      <w:pPr>
        <w:spacing w:line="360" w:lineRule="auto"/>
        <w:rPr>
          <w:rFonts w:hint="eastAsia"/>
          <w:highlight w:val="none"/>
        </w:rPr>
      </w:pPr>
      <w:r>
        <w:rPr>
          <w:rFonts w:hint="eastAsia"/>
          <w:highlight w:val="none"/>
        </w:rPr>
        <w:t>项目内容：详见磋商公告</w:t>
      </w:r>
    </w:p>
    <w:p w14:paraId="276E9CB6">
      <w:pPr>
        <w:spacing w:line="360" w:lineRule="auto"/>
        <w:rPr>
          <w:rFonts w:hint="eastAsia" w:eastAsia="宋体"/>
          <w:highlight w:val="none"/>
          <w:lang w:eastAsia="zh-CN"/>
        </w:rPr>
      </w:pPr>
      <w:r>
        <w:rPr>
          <w:rFonts w:hint="eastAsia"/>
          <w:highlight w:val="none"/>
        </w:rPr>
        <w:t xml:space="preserve">服务期限: </w:t>
      </w:r>
      <w:r>
        <w:rPr>
          <w:rFonts w:hint="eastAsia"/>
          <w:highlight w:val="none"/>
          <w:lang w:eastAsia="zh-CN"/>
        </w:rPr>
        <w:t>合同签订后一年内提交最终成果</w:t>
      </w:r>
    </w:p>
    <w:p w14:paraId="597EB22E">
      <w:pPr>
        <w:spacing w:line="360" w:lineRule="auto"/>
        <w:rPr>
          <w:rFonts w:hint="eastAsia"/>
          <w:highlight w:val="none"/>
        </w:rPr>
      </w:pPr>
      <w:r>
        <w:rPr>
          <w:rFonts w:hint="eastAsia"/>
          <w:highlight w:val="none"/>
        </w:rPr>
        <w:t>最高限价：本项目最高限价为</w:t>
      </w:r>
      <w:r>
        <w:rPr>
          <w:rFonts w:hint="eastAsia"/>
          <w:highlight w:val="none"/>
          <w:lang w:val="en-US" w:eastAsia="zh-CN"/>
        </w:rPr>
        <w:t>98</w:t>
      </w:r>
      <w:r>
        <w:rPr>
          <w:rFonts w:hint="eastAsia"/>
          <w:highlight w:val="none"/>
        </w:rPr>
        <w:t>万元，超过最高限价的报价按无效投标处理。</w:t>
      </w:r>
    </w:p>
    <w:p w14:paraId="6C867429">
      <w:pPr>
        <w:spacing w:line="360" w:lineRule="auto"/>
        <w:rPr>
          <w:rFonts w:hint="eastAsia"/>
          <w:b/>
          <w:bCs/>
          <w:highlight w:val="none"/>
        </w:rPr>
      </w:pPr>
      <w:r>
        <w:rPr>
          <w:rFonts w:hint="eastAsia"/>
          <w:b/>
          <w:bCs/>
          <w:highlight w:val="none"/>
        </w:rPr>
        <w:t>二、采购人</w:t>
      </w:r>
    </w:p>
    <w:p w14:paraId="7D2346D8">
      <w:pPr>
        <w:spacing w:line="360" w:lineRule="auto"/>
        <w:rPr>
          <w:rFonts w:hint="eastAsia"/>
          <w:highlight w:val="none"/>
        </w:rPr>
      </w:pPr>
      <w:r>
        <w:rPr>
          <w:rFonts w:hint="eastAsia"/>
          <w:highlight w:val="none"/>
        </w:rPr>
        <w:t>1、采购人</w:t>
      </w:r>
    </w:p>
    <w:p w14:paraId="4D61D9B5">
      <w:pPr>
        <w:pStyle w:val="11"/>
        <w:tabs>
          <w:tab w:val="left" w:pos="0"/>
        </w:tabs>
        <w:autoSpaceDE w:val="0"/>
        <w:autoSpaceDN w:val="0"/>
        <w:spacing w:line="360" w:lineRule="auto"/>
        <w:ind w:right="24" w:rightChars="10" w:firstLine="0"/>
        <w:textAlignment w:val="bottom"/>
        <w:rPr>
          <w:rFonts w:hint="eastAsia" w:eastAsia="宋体"/>
          <w:szCs w:val="24"/>
          <w:highlight w:val="none"/>
          <w:lang w:eastAsia="zh-CN"/>
        </w:rPr>
      </w:pPr>
      <w:r>
        <w:rPr>
          <w:rFonts w:hint="eastAsia"/>
          <w:szCs w:val="24"/>
          <w:highlight w:val="none"/>
        </w:rPr>
        <w:t>采购人：</w:t>
      </w:r>
      <w:r>
        <w:rPr>
          <w:rFonts w:hint="eastAsia"/>
          <w:szCs w:val="24"/>
          <w:highlight w:val="none"/>
          <w:lang w:eastAsia="zh-CN"/>
        </w:rPr>
        <w:t>上海市松江区土地储备和土地整理中心</w:t>
      </w:r>
    </w:p>
    <w:p w14:paraId="3DE9DDBB">
      <w:pPr>
        <w:pStyle w:val="11"/>
        <w:tabs>
          <w:tab w:val="left" w:pos="0"/>
        </w:tabs>
        <w:autoSpaceDE w:val="0"/>
        <w:autoSpaceDN w:val="0"/>
        <w:spacing w:line="360" w:lineRule="auto"/>
        <w:ind w:right="24" w:rightChars="10" w:firstLine="0"/>
        <w:textAlignment w:val="bottom"/>
        <w:rPr>
          <w:rFonts w:hint="eastAsia"/>
          <w:szCs w:val="24"/>
          <w:highlight w:val="none"/>
        </w:rPr>
      </w:pPr>
      <w:r>
        <w:rPr>
          <w:rFonts w:hint="eastAsia"/>
          <w:szCs w:val="24"/>
          <w:highlight w:val="none"/>
        </w:rPr>
        <w:t>地址：</w:t>
      </w:r>
      <w:r>
        <w:rPr>
          <w:rFonts w:hint="eastAsia"/>
          <w:highlight w:val="none"/>
          <w:lang w:eastAsia="zh-CN"/>
        </w:rPr>
        <w:t>上海市松江区荣乐东路2111号建设大厦2号楼</w:t>
      </w:r>
      <w:r>
        <w:rPr>
          <w:rFonts w:hint="eastAsia"/>
          <w:highlight w:val="none"/>
        </w:rPr>
        <w:t>　</w:t>
      </w:r>
    </w:p>
    <w:p w14:paraId="4FEC14C4">
      <w:pPr>
        <w:adjustRightInd w:val="0"/>
        <w:snapToGrid w:val="0"/>
        <w:spacing w:line="360" w:lineRule="auto"/>
        <w:rPr>
          <w:rFonts w:hint="eastAsia"/>
          <w:highlight w:val="none"/>
        </w:rPr>
      </w:pPr>
      <w:r>
        <w:rPr>
          <w:rFonts w:hint="eastAsia"/>
          <w:highlight w:val="none"/>
        </w:rPr>
        <w:t>邮编：201615</w:t>
      </w:r>
    </w:p>
    <w:p w14:paraId="2EE58822">
      <w:pPr>
        <w:adjustRightInd w:val="0"/>
        <w:snapToGrid w:val="0"/>
        <w:spacing w:line="360" w:lineRule="auto"/>
        <w:rPr>
          <w:rFonts w:hint="eastAsia" w:eastAsia="宋体"/>
          <w:highlight w:val="none"/>
          <w:lang w:eastAsia="zh-CN"/>
        </w:rPr>
      </w:pPr>
      <w:r>
        <w:rPr>
          <w:rFonts w:hint="eastAsia"/>
          <w:highlight w:val="none"/>
        </w:rPr>
        <w:t>联系人：</w:t>
      </w:r>
      <w:r>
        <w:rPr>
          <w:rFonts w:hint="eastAsia"/>
          <w:highlight w:val="none"/>
          <w:lang w:eastAsia="zh-CN"/>
        </w:rPr>
        <w:t>朱老师</w:t>
      </w:r>
    </w:p>
    <w:p w14:paraId="36A44D87">
      <w:pPr>
        <w:adjustRightInd w:val="0"/>
        <w:snapToGrid w:val="0"/>
        <w:spacing w:line="360" w:lineRule="auto"/>
        <w:rPr>
          <w:rFonts w:hint="eastAsia" w:eastAsia="宋体"/>
          <w:highlight w:val="none"/>
          <w:lang w:eastAsia="zh-CN"/>
        </w:rPr>
      </w:pPr>
      <w:r>
        <w:rPr>
          <w:rFonts w:hint="eastAsia"/>
          <w:highlight w:val="none"/>
        </w:rPr>
        <w:t>电话：</w:t>
      </w:r>
      <w:r>
        <w:rPr>
          <w:rFonts w:hint="eastAsia"/>
          <w:color w:val="000000"/>
          <w:highlight w:val="none"/>
          <w:lang w:eastAsia="zh-CN"/>
        </w:rPr>
        <w:t>021-57741058</w:t>
      </w:r>
    </w:p>
    <w:p w14:paraId="583F1154">
      <w:pPr>
        <w:adjustRightInd w:val="0"/>
        <w:snapToGrid w:val="0"/>
        <w:spacing w:line="360" w:lineRule="auto"/>
        <w:rPr>
          <w:rFonts w:hint="eastAsia"/>
          <w:szCs w:val="21"/>
          <w:highlight w:val="none"/>
        </w:rPr>
      </w:pPr>
      <w:r>
        <w:rPr>
          <w:rFonts w:hint="eastAsia"/>
          <w:highlight w:val="none"/>
        </w:rPr>
        <w:t>传真：</w:t>
      </w:r>
      <w:r>
        <w:rPr>
          <w:highlight w:val="none"/>
        </w:rPr>
        <w:t>/</w:t>
      </w:r>
    </w:p>
    <w:p w14:paraId="0688A2D4">
      <w:pPr>
        <w:pStyle w:val="11"/>
        <w:tabs>
          <w:tab w:val="left" w:pos="0"/>
        </w:tabs>
        <w:autoSpaceDE w:val="0"/>
        <w:autoSpaceDN w:val="0"/>
        <w:spacing w:line="360" w:lineRule="auto"/>
        <w:ind w:right="24" w:rightChars="10" w:firstLine="0"/>
        <w:textAlignment w:val="bottom"/>
        <w:rPr>
          <w:rFonts w:hint="eastAsia"/>
          <w:szCs w:val="24"/>
          <w:highlight w:val="none"/>
        </w:rPr>
      </w:pPr>
      <w:r>
        <w:rPr>
          <w:rFonts w:hint="eastAsia"/>
          <w:szCs w:val="24"/>
          <w:highlight w:val="none"/>
        </w:rPr>
        <w:t>2、招标代理机构</w:t>
      </w:r>
    </w:p>
    <w:p w14:paraId="42DB544A">
      <w:pPr>
        <w:pStyle w:val="11"/>
        <w:tabs>
          <w:tab w:val="left" w:pos="0"/>
        </w:tabs>
        <w:autoSpaceDE w:val="0"/>
        <w:autoSpaceDN w:val="0"/>
        <w:spacing w:line="360" w:lineRule="auto"/>
        <w:ind w:right="24" w:rightChars="10" w:firstLine="0"/>
        <w:textAlignment w:val="bottom"/>
        <w:rPr>
          <w:rFonts w:hint="eastAsia"/>
          <w:szCs w:val="24"/>
          <w:highlight w:val="none"/>
        </w:rPr>
      </w:pPr>
      <w:r>
        <w:rPr>
          <w:rFonts w:hint="eastAsia"/>
          <w:szCs w:val="24"/>
          <w:highlight w:val="none"/>
        </w:rPr>
        <w:t>采购代理机构：上海科瑞真诚建设项目管理有限公司</w:t>
      </w:r>
    </w:p>
    <w:p w14:paraId="733D7A57">
      <w:pPr>
        <w:pStyle w:val="11"/>
        <w:tabs>
          <w:tab w:val="left" w:pos="0"/>
        </w:tabs>
        <w:autoSpaceDE w:val="0"/>
        <w:autoSpaceDN w:val="0"/>
        <w:spacing w:line="360" w:lineRule="auto"/>
        <w:ind w:right="24" w:rightChars="10" w:firstLine="0"/>
        <w:textAlignment w:val="bottom"/>
        <w:rPr>
          <w:rFonts w:hint="eastAsia"/>
          <w:szCs w:val="24"/>
          <w:highlight w:val="none"/>
        </w:rPr>
      </w:pPr>
      <w:r>
        <w:rPr>
          <w:rFonts w:hint="eastAsia"/>
          <w:szCs w:val="24"/>
          <w:highlight w:val="none"/>
        </w:rPr>
        <w:t>地  址：上海市松江区鼎源路618弄79号1楼</w:t>
      </w:r>
    </w:p>
    <w:p w14:paraId="188B452F">
      <w:pPr>
        <w:pStyle w:val="11"/>
        <w:tabs>
          <w:tab w:val="left" w:pos="0"/>
        </w:tabs>
        <w:autoSpaceDE w:val="0"/>
        <w:autoSpaceDN w:val="0"/>
        <w:spacing w:line="360" w:lineRule="auto"/>
        <w:ind w:right="24" w:rightChars="10" w:firstLine="0"/>
        <w:textAlignment w:val="bottom"/>
        <w:rPr>
          <w:rFonts w:hint="eastAsia"/>
          <w:szCs w:val="24"/>
          <w:highlight w:val="none"/>
        </w:rPr>
      </w:pPr>
      <w:r>
        <w:rPr>
          <w:rFonts w:hint="eastAsia"/>
          <w:szCs w:val="24"/>
          <w:highlight w:val="none"/>
        </w:rPr>
        <w:t>邮  编：201600</w:t>
      </w:r>
    </w:p>
    <w:p w14:paraId="31E9CD01">
      <w:pPr>
        <w:pStyle w:val="11"/>
        <w:tabs>
          <w:tab w:val="left" w:pos="0"/>
        </w:tabs>
        <w:autoSpaceDE w:val="0"/>
        <w:autoSpaceDN w:val="0"/>
        <w:spacing w:line="360" w:lineRule="auto"/>
        <w:ind w:right="24" w:rightChars="10" w:firstLine="0"/>
        <w:textAlignment w:val="bottom"/>
        <w:rPr>
          <w:rFonts w:hint="eastAsia"/>
          <w:szCs w:val="24"/>
          <w:highlight w:val="none"/>
        </w:rPr>
      </w:pPr>
      <w:r>
        <w:rPr>
          <w:rFonts w:hint="eastAsia"/>
          <w:szCs w:val="24"/>
          <w:highlight w:val="none"/>
        </w:rPr>
        <w:t>联系人：黄磊</w:t>
      </w:r>
    </w:p>
    <w:p w14:paraId="716A6A4A">
      <w:pPr>
        <w:pStyle w:val="11"/>
        <w:tabs>
          <w:tab w:val="left" w:pos="0"/>
        </w:tabs>
        <w:autoSpaceDE w:val="0"/>
        <w:autoSpaceDN w:val="0"/>
        <w:spacing w:line="360" w:lineRule="auto"/>
        <w:ind w:right="24" w:rightChars="10" w:firstLine="0"/>
        <w:textAlignment w:val="bottom"/>
        <w:rPr>
          <w:rFonts w:hint="eastAsia"/>
          <w:szCs w:val="24"/>
          <w:highlight w:val="none"/>
        </w:rPr>
      </w:pPr>
      <w:r>
        <w:rPr>
          <w:rFonts w:hint="eastAsia"/>
          <w:szCs w:val="24"/>
          <w:highlight w:val="none"/>
        </w:rPr>
        <w:t>电  话：021-67721110</w:t>
      </w:r>
    </w:p>
    <w:p w14:paraId="1A7C8B4D">
      <w:pPr>
        <w:pStyle w:val="11"/>
        <w:tabs>
          <w:tab w:val="left" w:pos="0"/>
        </w:tabs>
        <w:autoSpaceDE w:val="0"/>
        <w:autoSpaceDN w:val="0"/>
        <w:spacing w:line="360" w:lineRule="auto"/>
        <w:ind w:right="24" w:rightChars="10" w:firstLine="0"/>
        <w:textAlignment w:val="bottom"/>
        <w:rPr>
          <w:rFonts w:hint="eastAsia"/>
          <w:szCs w:val="24"/>
          <w:highlight w:val="none"/>
        </w:rPr>
      </w:pPr>
      <w:r>
        <w:rPr>
          <w:rFonts w:hint="eastAsia"/>
          <w:szCs w:val="24"/>
          <w:highlight w:val="none"/>
        </w:rPr>
        <w:t>传  真：021-67721723</w:t>
      </w:r>
    </w:p>
    <w:p w14:paraId="36F8CA89">
      <w:pPr>
        <w:spacing w:line="360" w:lineRule="auto"/>
        <w:rPr>
          <w:rFonts w:hint="eastAsia"/>
          <w:b/>
          <w:bCs/>
          <w:highlight w:val="none"/>
        </w:rPr>
      </w:pPr>
      <w:r>
        <w:rPr>
          <w:rFonts w:hint="eastAsia"/>
          <w:b/>
          <w:bCs/>
          <w:highlight w:val="none"/>
        </w:rPr>
        <w:t>三、合格供应商条件</w:t>
      </w:r>
    </w:p>
    <w:p w14:paraId="017EC124">
      <w:pPr>
        <w:adjustRightInd w:val="0"/>
        <w:snapToGrid w:val="0"/>
        <w:spacing w:line="360" w:lineRule="auto"/>
        <w:rPr>
          <w:rFonts w:hint="eastAsia"/>
          <w:highlight w:val="none"/>
        </w:rPr>
      </w:pPr>
      <w:r>
        <w:rPr>
          <w:rFonts w:hint="eastAsia"/>
          <w:highlight w:val="none"/>
        </w:rPr>
        <w:t>详见《竞争性磋商公告》</w:t>
      </w:r>
    </w:p>
    <w:p w14:paraId="76C42D9C">
      <w:pPr>
        <w:spacing w:line="360" w:lineRule="auto"/>
        <w:rPr>
          <w:rFonts w:hint="eastAsia"/>
          <w:b/>
          <w:bCs/>
          <w:highlight w:val="none"/>
        </w:rPr>
      </w:pPr>
      <w:r>
        <w:rPr>
          <w:rFonts w:hint="eastAsia"/>
          <w:b/>
          <w:bCs/>
          <w:highlight w:val="none"/>
        </w:rPr>
        <w:t>四、磋商有关事项</w:t>
      </w:r>
    </w:p>
    <w:p w14:paraId="5F16A7F7">
      <w:pPr>
        <w:spacing w:line="360" w:lineRule="auto"/>
        <w:rPr>
          <w:rFonts w:hint="eastAsia"/>
          <w:highlight w:val="none"/>
        </w:rPr>
      </w:pPr>
      <w:r>
        <w:rPr>
          <w:rFonts w:hint="eastAsia"/>
          <w:highlight w:val="none"/>
        </w:rPr>
        <w:t>1、踏勘现场：不组织</w:t>
      </w:r>
    </w:p>
    <w:p w14:paraId="0336A280">
      <w:pPr>
        <w:spacing w:line="360" w:lineRule="auto"/>
        <w:rPr>
          <w:rFonts w:hint="eastAsia"/>
          <w:highlight w:val="none"/>
        </w:rPr>
      </w:pPr>
      <w:r>
        <w:rPr>
          <w:rFonts w:hint="eastAsia"/>
          <w:highlight w:val="none"/>
        </w:rPr>
        <w:t>2、磋商答疑会：如有将另行通知</w:t>
      </w:r>
    </w:p>
    <w:p w14:paraId="6204ADF6">
      <w:pPr>
        <w:spacing w:line="360" w:lineRule="auto"/>
        <w:rPr>
          <w:rFonts w:hint="eastAsia"/>
          <w:highlight w:val="none"/>
        </w:rPr>
      </w:pPr>
      <w:r>
        <w:rPr>
          <w:rFonts w:hint="eastAsia"/>
          <w:highlight w:val="none"/>
        </w:rPr>
        <w:t>3、响应有效期：自开标之日起90天</w:t>
      </w:r>
    </w:p>
    <w:p w14:paraId="6892AFAD">
      <w:pPr>
        <w:spacing w:line="360" w:lineRule="auto"/>
        <w:rPr>
          <w:rFonts w:hint="eastAsia"/>
          <w:highlight w:val="none"/>
        </w:rPr>
      </w:pPr>
      <w:r>
        <w:rPr>
          <w:rFonts w:hint="eastAsia"/>
          <w:highlight w:val="none"/>
        </w:rPr>
        <w:t>4、截止时间: 详见磋商公告或延期公告（如果有的话）</w:t>
      </w:r>
    </w:p>
    <w:p w14:paraId="5E6A739C">
      <w:pPr>
        <w:spacing w:line="360" w:lineRule="auto"/>
        <w:rPr>
          <w:rFonts w:hint="eastAsia"/>
          <w:highlight w:val="none"/>
        </w:rPr>
      </w:pPr>
      <w:r>
        <w:rPr>
          <w:rFonts w:hint="eastAsia"/>
          <w:highlight w:val="none"/>
        </w:rPr>
        <w:t>5、磋商时间和磋商地点网址：</w:t>
      </w:r>
    </w:p>
    <w:p w14:paraId="34E219DD">
      <w:pPr>
        <w:spacing w:line="360" w:lineRule="auto"/>
        <w:rPr>
          <w:rFonts w:hint="eastAsia"/>
          <w:highlight w:val="none"/>
        </w:rPr>
      </w:pPr>
      <w:r>
        <w:rPr>
          <w:rFonts w:hint="eastAsia"/>
          <w:highlight w:val="none"/>
        </w:rPr>
        <w:t>磋商时间：同响应截止时间</w:t>
      </w:r>
    </w:p>
    <w:p w14:paraId="6107063B">
      <w:pPr>
        <w:spacing w:line="360" w:lineRule="auto"/>
        <w:rPr>
          <w:rFonts w:hint="eastAsia"/>
          <w:highlight w:val="none"/>
        </w:rPr>
      </w:pPr>
      <w:r>
        <w:rPr>
          <w:rFonts w:hint="eastAsia"/>
          <w:highlight w:val="none"/>
        </w:rPr>
        <w:t>磋商地点：上海市松江区鼎源路618弄79号。</w:t>
      </w:r>
    </w:p>
    <w:p w14:paraId="6586E231">
      <w:pPr>
        <w:spacing w:line="360" w:lineRule="auto"/>
        <w:rPr>
          <w:rFonts w:hint="eastAsia"/>
          <w:highlight w:val="none"/>
        </w:rPr>
      </w:pPr>
      <w:r>
        <w:rPr>
          <w:rFonts w:hint="eastAsia"/>
          <w:highlight w:val="none"/>
        </w:rPr>
        <w:t>6、磋商评审小组的组建：3人或以上单数。</w:t>
      </w:r>
    </w:p>
    <w:p w14:paraId="02A06D10">
      <w:pPr>
        <w:spacing w:line="360" w:lineRule="auto"/>
        <w:rPr>
          <w:rFonts w:hint="eastAsia"/>
          <w:highlight w:val="none"/>
        </w:rPr>
      </w:pPr>
      <w:r>
        <w:rPr>
          <w:rFonts w:hint="eastAsia"/>
          <w:highlight w:val="none"/>
        </w:rPr>
        <w:t>7、评审专家确定方式：随机抽取。</w:t>
      </w:r>
    </w:p>
    <w:p w14:paraId="5F84AA92">
      <w:pPr>
        <w:spacing w:line="360" w:lineRule="auto"/>
        <w:rPr>
          <w:rFonts w:hint="eastAsia"/>
          <w:highlight w:val="none"/>
        </w:rPr>
      </w:pPr>
      <w:r>
        <w:rPr>
          <w:rFonts w:hint="eastAsia"/>
          <w:highlight w:val="none"/>
        </w:rPr>
        <w:t>8、评审方法：详见第四部分磋商程序和评审方法、标准</w:t>
      </w:r>
    </w:p>
    <w:p w14:paraId="7F907FE0">
      <w:pPr>
        <w:spacing w:line="360" w:lineRule="auto"/>
        <w:rPr>
          <w:rFonts w:hint="eastAsia"/>
          <w:highlight w:val="none"/>
        </w:rPr>
      </w:pPr>
      <w:r>
        <w:rPr>
          <w:rFonts w:hint="eastAsia"/>
          <w:highlight w:val="none"/>
        </w:rPr>
        <w:t>9、成交人推荐办法：</w:t>
      </w:r>
    </w:p>
    <w:p w14:paraId="6586A73D">
      <w:pPr>
        <w:spacing w:line="360" w:lineRule="auto"/>
        <w:rPr>
          <w:rFonts w:hint="eastAsia"/>
          <w:highlight w:val="none"/>
        </w:rPr>
      </w:pPr>
      <w:r>
        <w:rPr>
          <w:rFonts w:hint="eastAsia"/>
          <w:highlight w:val="none"/>
        </w:rPr>
        <w:t>磋商评审小组由3人或以上单数组成，经磋商谈判且最终报价后按照评审办法对每个报价人进行独立评分，再计算平均分值，按照每个报价人最终平均得分的高低依次排名，推荐出成交候选人。如果报价人得分相同的，按投标报价由低到高顺序排列。得分且投标报价相同的并列，则由磋商评审小组按照少数服从多数原则投票表决。</w:t>
      </w:r>
    </w:p>
    <w:p w14:paraId="79CABA87">
      <w:pPr>
        <w:spacing w:line="360" w:lineRule="auto"/>
        <w:rPr>
          <w:rFonts w:hint="eastAsia"/>
          <w:b/>
          <w:bCs/>
          <w:highlight w:val="none"/>
        </w:rPr>
      </w:pPr>
      <w:r>
        <w:rPr>
          <w:rFonts w:hint="eastAsia"/>
          <w:b/>
          <w:bCs/>
          <w:highlight w:val="none"/>
        </w:rPr>
        <w:t>五、其他说明</w:t>
      </w:r>
    </w:p>
    <w:p w14:paraId="7162D868">
      <w:pPr>
        <w:pStyle w:val="11"/>
        <w:tabs>
          <w:tab w:val="left" w:pos="0"/>
        </w:tabs>
        <w:autoSpaceDE w:val="0"/>
        <w:autoSpaceDN w:val="0"/>
        <w:spacing w:line="360" w:lineRule="auto"/>
        <w:ind w:right="24" w:rightChars="10" w:firstLine="0"/>
        <w:textAlignment w:val="bottom"/>
        <w:rPr>
          <w:rFonts w:hint="eastAsia"/>
          <w:szCs w:val="24"/>
          <w:highlight w:val="none"/>
        </w:rPr>
      </w:pPr>
      <w:bookmarkStart w:id="20" w:name="_Toc72335495"/>
      <w:r>
        <w:rPr>
          <w:rFonts w:hint="eastAsia"/>
          <w:szCs w:val="24"/>
          <w:highlight w:val="none"/>
        </w:rPr>
        <w:t>中标单位在领取中标通知书时需一次性支付招标代理服务费，招标代理服务费按中标价结算，参考国家计委文件计价格[2002]1980号“国家计委关于印发《招标代理服务收费管理暂行办法》的通知”中服务类的收费标准计取。</w:t>
      </w:r>
    </w:p>
    <w:p w14:paraId="78150849">
      <w:pPr>
        <w:spacing w:line="360" w:lineRule="auto"/>
        <w:rPr>
          <w:rFonts w:hint="eastAsia"/>
          <w:b/>
          <w:bCs/>
          <w:highlight w:val="none"/>
        </w:rPr>
      </w:pPr>
      <w:r>
        <w:rPr>
          <w:rFonts w:hint="eastAsia"/>
          <w:b/>
          <w:bCs/>
          <w:highlight w:val="none"/>
        </w:rPr>
        <w:t>六、文件解释与说明</w:t>
      </w:r>
    </w:p>
    <w:p w14:paraId="59EBD81F">
      <w:pPr>
        <w:spacing w:line="360" w:lineRule="auto"/>
        <w:rPr>
          <w:rFonts w:hint="eastAsia"/>
          <w:highlight w:val="none"/>
        </w:rPr>
      </w:pPr>
      <w:r>
        <w:rPr>
          <w:rFonts w:hint="eastAsia"/>
          <w:highlight w:val="none"/>
        </w:rPr>
        <w:t>1、构成本竞争性磋商文件的各个组成文件【包含竞争性磋商公告、投标人须知及前附表、评审办法、合同文件、附件格式文件、招标采购需求文件等】应互为解释，互为说明；任一文件中如有说明即视为存在该要求；</w:t>
      </w:r>
    </w:p>
    <w:p w14:paraId="47CF03FD">
      <w:pPr>
        <w:spacing w:line="360" w:lineRule="auto"/>
        <w:rPr>
          <w:rFonts w:hint="eastAsia"/>
          <w:highlight w:val="none"/>
        </w:rPr>
      </w:pPr>
      <w:r>
        <w:rPr>
          <w:rFonts w:hint="eastAsia"/>
          <w:highlight w:val="none"/>
        </w:rPr>
        <w:t>2、对于合同内容的约束，任一文件中如有说明即视为存在该要求，如有不明确或不一致，所有构成合同文件组成内容均可视作合同内容，以合同文件约定内容为准，且按合同文件优先顺序解释。</w:t>
      </w:r>
    </w:p>
    <w:p w14:paraId="6BD8DBDF">
      <w:pPr>
        <w:spacing w:line="360" w:lineRule="auto"/>
        <w:rPr>
          <w:rFonts w:hint="eastAsia"/>
          <w:highlight w:val="none"/>
        </w:rPr>
      </w:pPr>
      <w:r>
        <w:rPr>
          <w:rFonts w:hint="eastAsia"/>
          <w:highlight w:val="none"/>
        </w:rPr>
        <w:t>3、同一组成文件中就同一事项的规定或约定不一致的，以编排顺序在后者为准；同一组成文件不同版本之间有不一致的，以形成时间在后者为准。</w:t>
      </w:r>
    </w:p>
    <w:p w14:paraId="7977E77B">
      <w:pPr>
        <w:spacing w:line="360" w:lineRule="auto"/>
        <w:rPr>
          <w:rFonts w:hint="eastAsia"/>
          <w:highlight w:val="none"/>
        </w:rPr>
      </w:pPr>
      <w:r>
        <w:rPr>
          <w:rFonts w:hint="eastAsia"/>
          <w:highlight w:val="none"/>
        </w:rPr>
        <w:t>4、按本条第1项、第2项、第3项规定仍不能形成结论的，由招标人（采购人）负责解释。</w:t>
      </w:r>
    </w:p>
    <w:p w14:paraId="07F84210">
      <w:pPr>
        <w:autoSpaceDE w:val="0"/>
        <w:autoSpaceDN w:val="0"/>
        <w:spacing w:line="360" w:lineRule="auto"/>
        <w:ind w:right="24" w:rightChars="10"/>
        <w:textAlignment w:val="bottom"/>
        <w:rPr>
          <w:rFonts w:hint="eastAsia"/>
          <w:highlight w:val="none"/>
        </w:rPr>
      </w:pPr>
      <w:r>
        <w:rPr>
          <w:rFonts w:hint="eastAsia"/>
          <w:highlight w:val="none"/>
        </w:rPr>
        <w:t>5、本竞争性磋商文件及各组成文件中未尽事宜，可由双方在合同谈判时细化。</w:t>
      </w:r>
    </w:p>
    <w:p w14:paraId="3C057095">
      <w:pPr>
        <w:autoSpaceDE w:val="0"/>
        <w:autoSpaceDN w:val="0"/>
        <w:spacing w:line="360" w:lineRule="auto"/>
        <w:ind w:right="24" w:rightChars="10"/>
        <w:textAlignment w:val="bottom"/>
        <w:rPr>
          <w:rFonts w:hint="eastAsia" w:ascii="宋体" w:hAnsi="宋体" w:eastAsia="宋体" w:cs="宋体"/>
          <w:highlight w:val="none"/>
        </w:rPr>
      </w:pPr>
      <w:r>
        <w:rPr>
          <w:rFonts w:hint="eastAsia" w:ascii="宋体" w:hAnsi="宋体" w:eastAsia="宋体" w:cs="宋体"/>
          <w:highlight w:val="none"/>
          <w:lang w:val="en-US" w:eastAsia="zh-CN"/>
        </w:rPr>
        <w:t>6、本项目未达政府采购限额标准，属限额外采购项目而非政府采购项目，本竞争性磋商文件中所引用的政府采购相关规定均为参照。</w:t>
      </w:r>
    </w:p>
    <w:p w14:paraId="5A0B1456">
      <w:pPr>
        <w:autoSpaceDE w:val="0"/>
        <w:autoSpaceDN w:val="0"/>
        <w:spacing w:line="360" w:lineRule="auto"/>
        <w:ind w:right="24" w:rightChars="10"/>
        <w:jc w:val="center"/>
        <w:textAlignment w:val="bottom"/>
        <w:rPr>
          <w:rFonts w:hint="eastAsia"/>
          <w:spacing w:val="0"/>
          <w:sz w:val="40"/>
          <w:highlight w:val="none"/>
        </w:rPr>
      </w:pPr>
      <w:r>
        <w:rPr>
          <w:rFonts w:hint="eastAsia" w:ascii="宋体" w:hAnsi="宋体" w:eastAsia="宋体" w:cs="宋体"/>
          <w:highlight w:val="none"/>
        </w:rPr>
        <w:br w:type="page"/>
      </w:r>
      <w:bookmarkStart w:id="21" w:name="_Toc15048"/>
      <w:r>
        <w:rPr>
          <w:rFonts w:hint="eastAsia"/>
          <w:bCs/>
          <w:sz w:val="48"/>
          <w:szCs w:val="48"/>
          <w:highlight w:val="none"/>
        </w:rPr>
        <w:t>投标人须知</w:t>
      </w:r>
      <w:bookmarkEnd w:id="20"/>
      <w:bookmarkEnd w:id="21"/>
    </w:p>
    <w:p w14:paraId="76180DBE">
      <w:pPr>
        <w:pStyle w:val="3"/>
        <w:spacing w:before="468" w:beforeLines="150" w:after="312" w:afterLines="100" w:line="360" w:lineRule="auto"/>
        <w:jc w:val="both"/>
        <w:rPr>
          <w:rFonts w:hint="eastAsia" w:ascii="宋体" w:hAnsi="宋体"/>
          <w:sz w:val="28"/>
          <w:szCs w:val="28"/>
          <w:highlight w:val="none"/>
        </w:rPr>
      </w:pPr>
      <w:bookmarkStart w:id="22" w:name="_Toc115756022"/>
      <w:bookmarkStart w:id="23" w:name="_Toc72335496"/>
      <w:bookmarkStart w:id="24" w:name="_Toc457851982"/>
      <w:bookmarkStart w:id="25" w:name="_Toc415478484"/>
      <w:r>
        <w:rPr>
          <w:rFonts w:hint="eastAsia" w:ascii="宋体" w:hAnsi="宋体"/>
          <w:sz w:val="28"/>
          <w:szCs w:val="28"/>
          <w:highlight w:val="none"/>
        </w:rPr>
        <w:t>一、总 则</w:t>
      </w:r>
      <w:bookmarkEnd w:id="22"/>
      <w:bookmarkEnd w:id="23"/>
      <w:bookmarkEnd w:id="24"/>
      <w:bookmarkEnd w:id="25"/>
    </w:p>
    <w:p w14:paraId="13D41E73">
      <w:pPr>
        <w:pStyle w:val="4"/>
        <w:spacing w:line="360" w:lineRule="auto"/>
        <w:ind w:firstLine="0"/>
        <w:rPr>
          <w:rFonts w:hint="eastAsia"/>
          <w:bCs/>
          <w:szCs w:val="24"/>
          <w:highlight w:val="none"/>
        </w:rPr>
      </w:pPr>
      <w:bookmarkStart w:id="26" w:name="_Toc72335497"/>
      <w:bookmarkStart w:id="27" w:name="_Toc457851983"/>
      <w:r>
        <w:rPr>
          <w:rFonts w:hint="eastAsia"/>
          <w:bCs/>
          <w:szCs w:val="24"/>
          <w:highlight w:val="none"/>
        </w:rPr>
        <w:t>1、适用范围</w:t>
      </w:r>
      <w:bookmarkEnd w:id="26"/>
      <w:bookmarkEnd w:id="27"/>
    </w:p>
    <w:p w14:paraId="4BA0CEF5">
      <w:pPr>
        <w:spacing w:line="360" w:lineRule="auto"/>
        <w:ind w:firstLine="480" w:firstLineChars="200"/>
        <w:rPr>
          <w:rFonts w:hint="eastAsia"/>
          <w:highlight w:val="none"/>
        </w:rPr>
      </w:pPr>
      <w:r>
        <w:rPr>
          <w:rFonts w:hint="eastAsia"/>
          <w:highlight w:val="none"/>
        </w:rPr>
        <w:t>本文件适用于本次所有服务及相关配套服务的采购。</w:t>
      </w:r>
    </w:p>
    <w:p w14:paraId="73307B25">
      <w:pPr>
        <w:pStyle w:val="4"/>
        <w:spacing w:line="360" w:lineRule="auto"/>
        <w:ind w:firstLine="0"/>
        <w:rPr>
          <w:rFonts w:hint="eastAsia"/>
          <w:bCs/>
          <w:szCs w:val="24"/>
          <w:highlight w:val="none"/>
        </w:rPr>
      </w:pPr>
      <w:bookmarkStart w:id="28" w:name="_Toc72335498"/>
      <w:bookmarkStart w:id="29" w:name="_Toc457851984"/>
      <w:r>
        <w:rPr>
          <w:rFonts w:hint="eastAsia"/>
          <w:bCs/>
          <w:szCs w:val="24"/>
          <w:highlight w:val="none"/>
        </w:rPr>
        <w:t>2、定义</w:t>
      </w:r>
      <w:bookmarkEnd w:id="28"/>
      <w:bookmarkEnd w:id="29"/>
    </w:p>
    <w:p w14:paraId="25F13B18">
      <w:pPr>
        <w:spacing w:line="360" w:lineRule="auto"/>
        <w:ind w:firstLine="480" w:firstLineChars="200"/>
        <w:rPr>
          <w:rFonts w:hint="eastAsia"/>
          <w:highlight w:val="none"/>
        </w:rPr>
      </w:pPr>
      <w:r>
        <w:rPr>
          <w:rFonts w:hint="eastAsia"/>
          <w:highlight w:val="none"/>
        </w:rPr>
        <w:t>2.1“采购人”是指依法进行政府采购的国家机关、事业单位、团体组织。本次政府采购的采购人名称、地址、电话、联系人见竞争性磋商公告。</w:t>
      </w:r>
    </w:p>
    <w:p w14:paraId="3274DCEA">
      <w:pPr>
        <w:spacing w:line="360" w:lineRule="auto"/>
        <w:ind w:firstLine="480" w:firstLineChars="200"/>
        <w:rPr>
          <w:rFonts w:hint="eastAsia"/>
          <w:highlight w:val="none"/>
        </w:rPr>
      </w:pPr>
      <w:r>
        <w:rPr>
          <w:rFonts w:hint="eastAsia"/>
          <w:highlight w:val="none"/>
        </w:rPr>
        <w:t>2.2“采购代理机构”是指接受采购人委托，代理采购项目的集中采购机构和其他采购代理机构。本次政府采购的采购代理机构名称、地址、电话、联系人见竞争性磋商公告。</w:t>
      </w:r>
    </w:p>
    <w:p w14:paraId="484BC4A4">
      <w:pPr>
        <w:spacing w:line="360" w:lineRule="auto"/>
        <w:ind w:firstLine="480" w:firstLineChars="200"/>
        <w:rPr>
          <w:rFonts w:hint="eastAsia"/>
          <w:highlight w:val="none"/>
        </w:rPr>
      </w:pPr>
      <w:r>
        <w:rPr>
          <w:rFonts w:hint="eastAsia"/>
          <w:highlight w:val="none"/>
        </w:rPr>
        <w:t>2.3“供应商”是指响应磋商文件要求、参加竞争性磋商采购的法人、其他组织或者自然人。本次政府采购项目邀请的供应商通过竞争性磋商公告的形式确定。据此，采购人或采购代理机构己发出竞争性磋商公告，供应商应持竞争性磋商公告规定的资料领取或购买竞争性磋商文件。</w:t>
      </w:r>
    </w:p>
    <w:p w14:paraId="1DC393EF">
      <w:pPr>
        <w:spacing w:line="360" w:lineRule="auto"/>
        <w:ind w:firstLine="480" w:firstLineChars="200"/>
        <w:rPr>
          <w:rFonts w:hint="eastAsia"/>
          <w:highlight w:val="none"/>
        </w:rPr>
      </w:pPr>
      <w:r>
        <w:rPr>
          <w:rFonts w:hint="eastAsia"/>
          <w:highlight w:val="none"/>
        </w:rPr>
        <w:t>2.4 “磋商小组”是指依据《中华人民共和国政府采购法》和《政府采购竞争性磋商采购方式管理暂行办法》（财库〔2014〕214号）有关规定组建，依法依规履行其职责和义务的机构。</w:t>
      </w:r>
    </w:p>
    <w:p w14:paraId="730EEED2">
      <w:pPr>
        <w:spacing w:line="360" w:lineRule="auto"/>
        <w:ind w:firstLine="480" w:firstLineChars="200"/>
        <w:rPr>
          <w:rFonts w:hint="eastAsia"/>
          <w:highlight w:val="none"/>
        </w:rPr>
      </w:pPr>
      <w:r>
        <w:rPr>
          <w:rFonts w:hint="eastAsia"/>
          <w:highlight w:val="none"/>
        </w:rPr>
        <w:t>2.5 “货物”是指各种形态和种类的物品，包括原材料、燃料、设备、产品等，详见《政府采购品目分类目录》(</w:t>
      </w:r>
      <w:r>
        <w:rPr>
          <w:rFonts w:hint="eastAsia"/>
          <w:bCs/>
          <w:highlight w:val="none"/>
        </w:rPr>
        <w:t>财库〔2022〕31号</w:t>
      </w:r>
      <w:r>
        <w:rPr>
          <w:rFonts w:hint="eastAsia"/>
          <w:highlight w:val="none"/>
        </w:rPr>
        <w:t>)。</w:t>
      </w:r>
    </w:p>
    <w:p w14:paraId="1EECD492">
      <w:pPr>
        <w:spacing w:line="360" w:lineRule="auto"/>
        <w:ind w:firstLine="480" w:firstLineChars="200"/>
        <w:rPr>
          <w:rFonts w:hint="eastAsia"/>
          <w:highlight w:val="none"/>
        </w:rPr>
      </w:pPr>
      <w:r>
        <w:rPr>
          <w:rFonts w:hint="eastAsia"/>
          <w:highlight w:val="none"/>
        </w:rPr>
        <w:t>2.6 “工程”是指建设工程，包括建筑物和构筑物的新建、改建、扩建、装修、拆除、修缮等，详见《政府采购品目分类目录》(</w:t>
      </w:r>
      <w:r>
        <w:rPr>
          <w:rFonts w:hint="eastAsia"/>
          <w:bCs/>
          <w:highlight w:val="none"/>
        </w:rPr>
        <w:t>财库〔2022〕31号</w:t>
      </w:r>
      <w:r>
        <w:rPr>
          <w:rFonts w:hint="eastAsia"/>
          <w:highlight w:val="none"/>
        </w:rPr>
        <w:t>)。</w:t>
      </w:r>
    </w:p>
    <w:p w14:paraId="7EA39643">
      <w:pPr>
        <w:spacing w:line="360" w:lineRule="auto"/>
        <w:ind w:firstLine="480" w:firstLineChars="200"/>
        <w:rPr>
          <w:rFonts w:hint="eastAsia"/>
          <w:highlight w:val="none"/>
        </w:rPr>
      </w:pPr>
      <w:r>
        <w:rPr>
          <w:rFonts w:hint="eastAsia"/>
          <w:highlight w:val="none"/>
        </w:rPr>
        <w:t>2.7 “服务”是指除货物和工程以外的其他政府采购对象，详见《政府采购品目分类目录》(</w:t>
      </w:r>
      <w:r>
        <w:rPr>
          <w:rFonts w:hint="eastAsia"/>
          <w:bCs/>
          <w:highlight w:val="none"/>
        </w:rPr>
        <w:t>财库〔2022〕31号</w:t>
      </w:r>
      <w:r>
        <w:rPr>
          <w:rFonts w:hint="eastAsia"/>
          <w:highlight w:val="none"/>
        </w:rPr>
        <w:t>)。</w:t>
      </w:r>
    </w:p>
    <w:p w14:paraId="64C89581">
      <w:pPr>
        <w:spacing w:line="360" w:lineRule="auto"/>
        <w:ind w:firstLine="480" w:firstLineChars="200"/>
        <w:rPr>
          <w:rFonts w:hint="eastAsia"/>
          <w:highlight w:val="none"/>
        </w:rPr>
      </w:pPr>
      <w:r>
        <w:rPr>
          <w:rFonts w:hint="eastAsia"/>
          <w:highlight w:val="none"/>
        </w:rPr>
        <w:t>2.8“潜在报价人”指已报名登记的供应商。</w:t>
      </w:r>
    </w:p>
    <w:p w14:paraId="7E1C57CB">
      <w:pPr>
        <w:spacing w:line="360" w:lineRule="auto"/>
        <w:ind w:firstLine="480" w:firstLineChars="200"/>
        <w:rPr>
          <w:rFonts w:hint="eastAsia"/>
          <w:highlight w:val="none"/>
        </w:rPr>
      </w:pPr>
      <w:r>
        <w:rPr>
          <w:rFonts w:hint="eastAsia"/>
          <w:highlight w:val="none"/>
        </w:rPr>
        <w:t>2.9“报价人”指已报名登记并提交响应文件的供应商。</w:t>
      </w:r>
    </w:p>
    <w:p w14:paraId="2060F019">
      <w:pPr>
        <w:pStyle w:val="4"/>
        <w:spacing w:line="360" w:lineRule="auto"/>
        <w:ind w:firstLine="0"/>
        <w:rPr>
          <w:rFonts w:hint="eastAsia"/>
          <w:bCs/>
          <w:szCs w:val="24"/>
          <w:highlight w:val="none"/>
        </w:rPr>
      </w:pPr>
      <w:bookmarkStart w:id="30" w:name="_Toc457851985"/>
      <w:bookmarkStart w:id="31" w:name="_Toc72335499"/>
      <w:r>
        <w:rPr>
          <w:rFonts w:hint="eastAsia"/>
          <w:bCs/>
          <w:szCs w:val="24"/>
          <w:highlight w:val="none"/>
        </w:rPr>
        <w:t>3、采购方式</w:t>
      </w:r>
      <w:bookmarkEnd w:id="30"/>
      <w:bookmarkEnd w:id="31"/>
    </w:p>
    <w:p w14:paraId="41E7B18B">
      <w:pPr>
        <w:spacing w:line="360" w:lineRule="auto"/>
        <w:ind w:firstLine="480" w:firstLineChars="200"/>
        <w:rPr>
          <w:rFonts w:hint="eastAsia"/>
          <w:highlight w:val="none"/>
        </w:rPr>
      </w:pPr>
      <w:r>
        <w:rPr>
          <w:rFonts w:hint="eastAsia"/>
          <w:highlight w:val="none"/>
        </w:rPr>
        <w:t>本次采购按照公开、公正、公平的竞争原则，采用竞争性磋商方式进行国内采购。</w:t>
      </w:r>
    </w:p>
    <w:p w14:paraId="7092FFC1">
      <w:pPr>
        <w:pStyle w:val="4"/>
        <w:spacing w:line="360" w:lineRule="auto"/>
        <w:ind w:firstLine="0"/>
        <w:rPr>
          <w:rFonts w:hint="eastAsia"/>
          <w:bCs/>
          <w:szCs w:val="24"/>
          <w:highlight w:val="none"/>
        </w:rPr>
      </w:pPr>
      <w:bookmarkStart w:id="32" w:name="_Toc72335500"/>
      <w:bookmarkStart w:id="33" w:name="_Toc457851986"/>
      <w:r>
        <w:rPr>
          <w:rFonts w:hint="eastAsia"/>
          <w:bCs/>
          <w:szCs w:val="24"/>
          <w:highlight w:val="none"/>
        </w:rPr>
        <w:t>4、语言</w:t>
      </w:r>
      <w:bookmarkEnd w:id="32"/>
      <w:bookmarkEnd w:id="33"/>
    </w:p>
    <w:p w14:paraId="526A7C48">
      <w:pPr>
        <w:spacing w:line="360" w:lineRule="auto"/>
        <w:ind w:firstLine="480" w:firstLineChars="200"/>
        <w:rPr>
          <w:rFonts w:hint="eastAsia"/>
          <w:highlight w:val="none"/>
        </w:rPr>
      </w:pPr>
      <w:r>
        <w:rPr>
          <w:rFonts w:hint="eastAsia"/>
          <w:highlight w:val="none"/>
        </w:rPr>
        <w:t>响应文件及报价人与采购单位之间的与响应文件有关的往来函电和文件均须使用中文。</w:t>
      </w:r>
    </w:p>
    <w:p w14:paraId="5A2EC905">
      <w:pPr>
        <w:pStyle w:val="4"/>
        <w:spacing w:line="360" w:lineRule="auto"/>
        <w:ind w:firstLine="0"/>
        <w:rPr>
          <w:rFonts w:hint="eastAsia"/>
          <w:bCs/>
          <w:szCs w:val="24"/>
          <w:highlight w:val="none"/>
        </w:rPr>
      </w:pPr>
      <w:bookmarkStart w:id="34" w:name="_Toc72335501"/>
      <w:bookmarkStart w:id="35" w:name="_Toc457851987"/>
      <w:r>
        <w:rPr>
          <w:rFonts w:hint="eastAsia"/>
          <w:bCs/>
          <w:szCs w:val="24"/>
          <w:highlight w:val="none"/>
        </w:rPr>
        <w:t>5、服务提供时间和地点要求</w:t>
      </w:r>
      <w:bookmarkEnd w:id="34"/>
      <w:bookmarkEnd w:id="35"/>
    </w:p>
    <w:p w14:paraId="4FE2B01D">
      <w:pPr>
        <w:spacing w:line="360" w:lineRule="auto"/>
        <w:ind w:firstLine="480" w:firstLineChars="200"/>
        <w:rPr>
          <w:rFonts w:hint="eastAsia"/>
          <w:highlight w:val="none"/>
        </w:rPr>
      </w:pPr>
      <w:r>
        <w:rPr>
          <w:rFonts w:hint="eastAsia"/>
          <w:highlight w:val="none"/>
        </w:rPr>
        <w:t>5.1 服务期限：</w:t>
      </w:r>
      <w:r>
        <w:rPr>
          <w:rFonts w:hint="eastAsia"/>
          <w:highlight w:val="none"/>
          <w:lang w:eastAsia="zh-CN"/>
        </w:rPr>
        <w:t>合同签订后一年内提交最终成果</w:t>
      </w:r>
      <w:r>
        <w:rPr>
          <w:rFonts w:hint="eastAsia"/>
          <w:highlight w:val="none"/>
        </w:rPr>
        <w:t>。</w:t>
      </w:r>
    </w:p>
    <w:p w14:paraId="468B2692">
      <w:pPr>
        <w:spacing w:line="360" w:lineRule="auto"/>
        <w:ind w:firstLine="480" w:firstLineChars="200"/>
        <w:rPr>
          <w:rFonts w:hint="eastAsia"/>
          <w:highlight w:val="none"/>
        </w:rPr>
      </w:pPr>
      <w:r>
        <w:rPr>
          <w:rFonts w:hint="eastAsia"/>
          <w:highlight w:val="none"/>
        </w:rPr>
        <w:t>5.2 服务地点：</w:t>
      </w:r>
      <w:r>
        <w:rPr>
          <w:rFonts w:hint="eastAsia"/>
          <w:bCs/>
          <w:highlight w:val="none"/>
        </w:rPr>
        <w:t>采购人指定地点</w:t>
      </w:r>
      <w:r>
        <w:rPr>
          <w:rFonts w:hint="eastAsia"/>
          <w:highlight w:val="none"/>
        </w:rPr>
        <w:t>。</w:t>
      </w:r>
    </w:p>
    <w:p w14:paraId="6353874E">
      <w:pPr>
        <w:spacing w:line="360" w:lineRule="auto"/>
        <w:ind w:firstLine="480" w:firstLineChars="200"/>
        <w:rPr>
          <w:rFonts w:hint="eastAsia"/>
          <w:highlight w:val="none"/>
        </w:rPr>
      </w:pPr>
      <w:r>
        <w:rPr>
          <w:rFonts w:hint="eastAsia"/>
          <w:highlight w:val="none"/>
        </w:rPr>
        <w:t>5.3 竞争性磋商</w:t>
      </w:r>
      <w:r>
        <w:rPr>
          <w:highlight w:val="none"/>
        </w:rPr>
        <w:t>费用</w:t>
      </w:r>
    </w:p>
    <w:p w14:paraId="167A9421">
      <w:pPr>
        <w:spacing w:line="360" w:lineRule="auto"/>
        <w:ind w:firstLine="480" w:firstLineChars="200"/>
        <w:rPr>
          <w:rFonts w:hint="eastAsia"/>
          <w:highlight w:val="none"/>
        </w:rPr>
      </w:pPr>
      <w:r>
        <w:rPr>
          <w:rFonts w:hint="eastAsia"/>
          <w:highlight w:val="none"/>
        </w:rPr>
        <w:t>（1）供应商应承担所有与编写和提交响应文件有关的费用，不论竞争性磋商的结果如何，采购人在任何情况下均无义务和责任承担这些费用。</w:t>
      </w:r>
    </w:p>
    <w:p w14:paraId="779172D4">
      <w:pPr>
        <w:spacing w:line="360" w:lineRule="auto"/>
        <w:ind w:firstLine="480" w:firstLineChars="200"/>
        <w:rPr>
          <w:rFonts w:hint="eastAsia"/>
          <w:highlight w:val="none"/>
        </w:rPr>
      </w:pPr>
      <w:r>
        <w:rPr>
          <w:rFonts w:hint="eastAsia"/>
          <w:highlight w:val="none"/>
        </w:rPr>
        <w:t>（2）供应商进行项目演示、陈述答辩会等所产生的费用，由供应商自行承担。所有与此响应文件一起提交的支持文件和手册将归采购人所有。</w:t>
      </w:r>
    </w:p>
    <w:p w14:paraId="21EF1BBD">
      <w:pPr>
        <w:spacing w:line="360" w:lineRule="auto"/>
        <w:ind w:firstLine="480" w:firstLineChars="200"/>
        <w:rPr>
          <w:rFonts w:hint="eastAsia"/>
          <w:highlight w:val="none"/>
        </w:rPr>
      </w:pPr>
    </w:p>
    <w:p w14:paraId="6D07EAB6">
      <w:pPr>
        <w:pStyle w:val="3"/>
        <w:spacing w:before="468" w:beforeLines="150" w:after="312" w:afterLines="100" w:line="360" w:lineRule="auto"/>
        <w:jc w:val="both"/>
        <w:rPr>
          <w:rFonts w:hint="eastAsia" w:ascii="宋体" w:hAnsi="宋体"/>
          <w:sz w:val="28"/>
          <w:szCs w:val="28"/>
          <w:highlight w:val="none"/>
        </w:rPr>
      </w:pPr>
      <w:bookmarkStart w:id="36" w:name="_Toc115756023"/>
      <w:bookmarkStart w:id="37" w:name="_Toc415478485"/>
      <w:bookmarkStart w:id="38" w:name="_Toc72335502"/>
      <w:bookmarkStart w:id="39" w:name="_Toc457851988"/>
      <w:r>
        <w:rPr>
          <w:rFonts w:hint="eastAsia" w:ascii="宋体" w:hAnsi="宋体"/>
          <w:sz w:val="28"/>
          <w:szCs w:val="28"/>
          <w:highlight w:val="none"/>
        </w:rPr>
        <w:t>二、采购信息说明</w:t>
      </w:r>
      <w:bookmarkEnd w:id="36"/>
      <w:bookmarkEnd w:id="37"/>
      <w:bookmarkEnd w:id="38"/>
      <w:bookmarkEnd w:id="39"/>
    </w:p>
    <w:p w14:paraId="63C44C24">
      <w:pPr>
        <w:pStyle w:val="4"/>
        <w:spacing w:line="360" w:lineRule="auto"/>
        <w:ind w:firstLine="0"/>
        <w:rPr>
          <w:rFonts w:hint="eastAsia"/>
          <w:bCs/>
          <w:szCs w:val="24"/>
          <w:highlight w:val="none"/>
        </w:rPr>
      </w:pPr>
      <w:bookmarkStart w:id="40" w:name="_Toc457851989"/>
      <w:bookmarkStart w:id="41" w:name="_Toc72335503"/>
      <w:r>
        <w:rPr>
          <w:rFonts w:hint="eastAsia"/>
          <w:bCs/>
          <w:szCs w:val="24"/>
          <w:highlight w:val="none"/>
        </w:rPr>
        <w:t>6、采购信息的内容</w:t>
      </w:r>
      <w:bookmarkEnd w:id="40"/>
      <w:bookmarkEnd w:id="41"/>
    </w:p>
    <w:p w14:paraId="7CA9DD03">
      <w:pPr>
        <w:spacing w:line="360" w:lineRule="auto"/>
        <w:ind w:firstLine="480" w:firstLineChars="200"/>
        <w:rPr>
          <w:rFonts w:hint="eastAsia"/>
          <w:highlight w:val="none"/>
        </w:rPr>
      </w:pPr>
      <w:r>
        <w:rPr>
          <w:rFonts w:hint="eastAsia"/>
          <w:highlight w:val="none"/>
        </w:rPr>
        <w:t>6.1本项目的竞争性磋商文件包括下列文件：</w:t>
      </w:r>
    </w:p>
    <w:p w14:paraId="1B90B76D">
      <w:pPr>
        <w:spacing w:line="360" w:lineRule="auto"/>
        <w:ind w:firstLine="480" w:firstLineChars="200"/>
        <w:rPr>
          <w:rFonts w:hint="eastAsia"/>
          <w:highlight w:val="none"/>
        </w:rPr>
      </w:pPr>
      <w:r>
        <w:rPr>
          <w:rFonts w:hint="eastAsia"/>
          <w:highlight w:val="none"/>
        </w:rPr>
        <w:t>第一部分   竞争性磋商公告</w:t>
      </w:r>
    </w:p>
    <w:p w14:paraId="19D9837A">
      <w:pPr>
        <w:spacing w:line="360" w:lineRule="auto"/>
        <w:ind w:firstLine="480" w:firstLineChars="200"/>
        <w:rPr>
          <w:rFonts w:hint="eastAsia"/>
          <w:highlight w:val="none"/>
        </w:rPr>
      </w:pPr>
      <w:r>
        <w:rPr>
          <w:rFonts w:hint="eastAsia"/>
          <w:highlight w:val="none"/>
        </w:rPr>
        <w:t>第二部分   投标人须知及前附表</w:t>
      </w:r>
    </w:p>
    <w:p w14:paraId="48959F9C">
      <w:pPr>
        <w:spacing w:line="360" w:lineRule="auto"/>
        <w:ind w:firstLine="480" w:firstLineChars="200"/>
        <w:rPr>
          <w:rFonts w:hint="eastAsia"/>
          <w:highlight w:val="none"/>
        </w:rPr>
      </w:pPr>
      <w:r>
        <w:rPr>
          <w:rFonts w:hint="eastAsia"/>
          <w:highlight w:val="none"/>
        </w:rPr>
        <w:t>第三部分   项目需求</w:t>
      </w:r>
    </w:p>
    <w:p w14:paraId="2F18F7AB">
      <w:pPr>
        <w:spacing w:line="360" w:lineRule="auto"/>
        <w:ind w:firstLine="480" w:firstLineChars="200"/>
        <w:rPr>
          <w:rFonts w:hint="eastAsia"/>
          <w:highlight w:val="none"/>
        </w:rPr>
      </w:pPr>
      <w:r>
        <w:rPr>
          <w:rFonts w:hint="eastAsia"/>
          <w:highlight w:val="none"/>
        </w:rPr>
        <w:t>第四部分   竞争性磋商程序和评审方法、标准</w:t>
      </w:r>
    </w:p>
    <w:p w14:paraId="6BE22659">
      <w:pPr>
        <w:spacing w:line="360" w:lineRule="auto"/>
        <w:ind w:firstLine="480" w:firstLineChars="200"/>
        <w:rPr>
          <w:rFonts w:hint="eastAsia"/>
          <w:highlight w:val="none"/>
        </w:rPr>
      </w:pPr>
      <w:r>
        <w:rPr>
          <w:rFonts w:hint="eastAsia"/>
          <w:highlight w:val="none"/>
        </w:rPr>
        <w:t>第五部分   响应文件格式</w:t>
      </w:r>
    </w:p>
    <w:p w14:paraId="5DE60C42">
      <w:pPr>
        <w:spacing w:line="360" w:lineRule="auto"/>
        <w:ind w:firstLine="480" w:firstLineChars="200"/>
        <w:rPr>
          <w:rFonts w:hint="eastAsia"/>
          <w:highlight w:val="none"/>
        </w:rPr>
      </w:pPr>
      <w:r>
        <w:rPr>
          <w:rFonts w:hint="eastAsia"/>
          <w:highlight w:val="none"/>
        </w:rPr>
        <w:t>第六部分   合同主要条款</w:t>
      </w:r>
    </w:p>
    <w:p w14:paraId="5D71176B">
      <w:pPr>
        <w:spacing w:line="360" w:lineRule="auto"/>
        <w:ind w:firstLine="480" w:firstLineChars="200"/>
        <w:rPr>
          <w:rFonts w:hint="eastAsia"/>
          <w:highlight w:val="none"/>
        </w:rPr>
      </w:pPr>
      <w:r>
        <w:rPr>
          <w:rFonts w:hint="eastAsia"/>
          <w:highlight w:val="none"/>
        </w:rPr>
        <w:t>6.2 报价人应认真审阅竞争性磋商文件中所有的须知、条件、格式、项目、技术要求等。</w:t>
      </w:r>
    </w:p>
    <w:p w14:paraId="569C3CBC">
      <w:pPr>
        <w:spacing w:line="360" w:lineRule="auto"/>
        <w:ind w:firstLine="480" w:firstLineChars="200"/>
        <w:rPr>
          <w:rFonts w:hint="eastAsia"/>
          <w:highlight w:val="none"/>
        </w:rPr>
      </w:pPr>
      <w:r>
        <w:rPr>
          <w:rFonts w:hint="eastAsia"/>
          <w:highlight w:val="none"/>
        </w:rPr>
        <w:t xml:space="preserve">6.3 </w:t>
      </w:r>
      <w:bookmarkStart w:id="42" w:name="_Toc115756024"/>
      <w:r>
        <w:rPr>
          <w:rFonts w:hint="eastAsia"/>
          <w:highlight w:val="none"/>
        </w:rPr>
        <w:t>报价人应认真检查竞争性磋商文件是否完整，若发现缺页或附件不全时，应及时向采购单位提出，以便补齐。</w:t>
      </w:r>
    </w:p>
    <w:p w14:paraId="42D2E278">
      <w:pPr>
        <w:pStyle w:val="4"/>
        <w:spacing w:line="360" w:lineRule="auto"/>
        <w:ind w:firstLine="0"/>
        <w:rPr>
          <w:rFonts w:hint="eastAsia"/>
          <w:bCs/>
          <w:szCs w:val="24"/>
          <w:highlight w:val="none"/>
        </w:rPr>
      </w:pPr>
      <w:bookmarkStart w:id="43" w:name="_Toc72335504"/>
      <w:bookmarkStart w:id="44" w:name="_Toc457851990"/>
      <w:r>
        <w:rPr>
          <w:rFonts w:hint="eastAsia"/>
          <w:bCs/>
          <w:szCs w:val="24"/>
          <w:highlight w:val="none"/>
        </w:rPr>
        <w:t>7、竞争性磋商文件的澄清、修改</w:t>
      </w:r>
      <w:bookmarkEnd w:id="43"/>
      <w:bookmarkEnd w:id="44"/>
    </w:p>
    <w:p w14:paraId="2F46FE32">
      <w:pPr>
        <w:spacing w:line="360" w:lineRule="auto"/>
        <w:ind w:firstLine="480" w:firstLineChars="200"/>
        <w:rPr>
          <w:rFonts w:hint="eastAsia"/>
          <w:highlight w:val="none"/>
        </w:rPr>
      </w:pPr>
      <w:bookmarkStart w:id="45" w:name="_Toc457851991"/>
      <w:bookmarkStart w:id="46" w:name="_Toc415478486"/>
      <w:r>
        <w:rPr>
          <w:rFonts w:hint="eastAsia"/>
          <w:highlight w:val="none"/>
        </w:rPr>
        <w:t>7．1任何要求对磋商文件进行澄清的报价人，均应按《采购公告》中的地址以书面形式（必须加盖报价人单位公章）通知采购人。</w:t>
      </w:r>
    </w:p>
    <w:p w14:paraId="51928D85">
      <w:pPr>
        <w:spacing w:line="360" w:lineRule="auto"/>
        <w:ind w:firstLine="480" w:firstLineChars="200"/>
        <w:rPr>
          <w:rFonts w:hint="eastAsia"/>
          <w:highlight w:val="none"/>
        </w:rPr>
      </w:pPr>
      <w:r>
        <w:rPr>
          <w:rFonts w:hint="eastAsia"/>
          <w:highlight w:val="none"/>
        </w:rPr>
        <w:t>7．2在收到澄清要求后，采购人需要对磋商文件进行澄清、答复的；或者在响应截止前的任何时候，采购人需要对磋商文件进行补充或修改的，如果澄清或修改公告时间距响应截止时间不足5天的，则相应延长响应截止时间。延长后的具体响应截止时间以最后发布的澄清或修改公告中的规定为准。</w:t>
      </w:r>
    </w:p>
    <w:p w14:paraId="7E4BFA7C">
      <w:pPr>
        <w:spacing w:line="360" w:lineRule="auto"/>
        <w:ind w:firstLine="480" w:firstLineChars="200"/>
        <w:rPr>
          <w:rFonts w:hint="eastAsia"/>
          <w:highlight w:val="none"/>
        </w:rPr>
      </w:pPr>
      <w:r>
        <w:rPr>
          <w:rFonts w:hint="eastAsia"/>
          <w:highlight w:val="none"/>
        </w:rPr>
        <w:t>7．3澄清或修改公告的内容为磋商文件的组成部分。当磋商文件与澄清或修改公告就同一内容的表述不一致时，以最后发出的文件内容为准。</w:t>
      </w:r>
    </w:p>
    <w:p w14:paraId="43D558B7">
      <w:pPr>
        <w:spacing w:line="360" w:lineRule="auto"/>
        <w:ind w:firstLine="480" w:firstLineChars="200"/>
        <w:rPr>
          <w:rFonts w:hint="eastAsia"/>
          <w:highlight w:val="none"/>
        </w:rPr>
      </w:pPr>
      <w:r>
        <w:rPr>
          <w:rFonts w:hint="eastAsia"/>
          <w:highlight w:val="none"/>
        </w:rPr>
        <w:t>7．4磋商文件的澄清、答复、修改或补充都应由采购人或采购代理机构以澄清或修改公告形式发布和通知，除此以外的其他任何澄清、修改方式及澄清、修改内容均属无效，不得作为投标的依据，否则，由此导致的风险由报价人自行承担，采购人不承担任何责任。</w:t>
      </w:r>
    </w:p>
    <w:p w14:paraId="6AB92D15">
      <w:pPr>
        <w:spacing w:line="360" w:lineRule="auto"/>
        <w:ind w:firstLine="480" w:firstLineChars="200"/>
        <w:rPr>
          <w:rFonts w:hint="eastAsia"/>
          <w:highlight w:val="none"/>
        </w:rPr>
      </w:pPr>
      <w:r>
        <w:rPr>
          <w:rFonts w:hint="eastAsia"/>
          <w:highlight w:val="none"/>
        </w:rPr>
        <w:t>7．5采购人召开答疑会的，所有报价人应根据磋商文件或者采购人通知的要求参加答疑会。报价人如不参加，其风险由报价人自行承担，采购人不承担任何责任。</w:t>
      </w:r>
    </w:p>
    <w:p w14:paraId="5D037F34">
      <w:pPr>
        <w:pStyle w:val="3"/>
        <w:spacing w:before="468" w:beforeLines="150" w:after="312" w:afterLines="100" w:line="360" w:lineRule="auto"/>
        <w:jc w:val="both"/>
        <w:rPr>
          <w:rFonts w:hint="eastAsia" w:ascii="宋体" w:hAnsi="宋体"/>
          <w:highlight w:val="none"/>
        </w:rPr>
      </w:pPr>
      <w:bookmarkStart w:id="47" w:name="_Toc72335505"/>
      <w:r>
        <w:rPr>
          <w:rFonts w:hint="eastAsia" w:ascii="宋体" w:hAnsi="宋体"/>
          <w:sz w:val="28"/>
          <w:szCs w:val="28"/>
          <w:highlight w:val="none"/>
        </w:rPr>
        <w:t>三、响应文件的编写</w:t>
      </w:r>
      <w:bookmarkEnd w:id="42"/>
      <w:bookmarkEnd w:id="45"/>
      <w:bookmarkEnd w:id="46"/>
      <w:bookmarkEnd w:id="47"/>
    </w:p>
    <w:p w14:paraId="6A33E267">
      <w:pPr>
        <w:pStyle w:val="4"/>
        <w:spacing w:line="360" w:lineRule="auto"/>
        <w:ind w:firstLine="0"/>
        <w:rPr>
          <w:rFonts w:hint="eastAsia"/>
          <w:bCs/>
          <w:szCs w:val="24"/>
          <w:highlight w:val="none"/>
        </w:rPr>
      </w:pPr>
      <w:bookmarkStart w:id="48" w:name="_Toc457851992"/>
      <w:bookmarkStart w:id="49" w:name="_Toc72335506"/>
      <w:r>
        <w:rPr>
          <w:rFonts w:hint="eastAsia"/>
          <w:bCs/>
          <w:szCs w:val="24"/>
          <w:highlight w:val="none"/>
        </w:rPr>
        <w:t>8、要求</w:t>
      </w:r>
      <w:bookmarkEnd w:id="48"/>
      <w:bookmarkEnd w:id="49"/>
    </w:p>
    <w:p w14:paraId="63817490">
      <w:pPr>
        <w:spacing w:line="360" w:lineRule="auto"/>
        <w:ind w:firstLine="480" w:firstLineChars="200"/>
        <w:rPr>
          <w:rFonts w:hint="eastAsia"/>
          <w:highlight w:val="none"/>
        </w:rPr>
      </w:pPr>
      <w:r>
        <w:rPr>
          <w:rFonts w:hint="eastAsia"/>
          <w:highlight w:val="none"/>
        </w:rPr>
        <w:t>8.1 报价人应仔细阅读竞争性磋商文件的所有内容，按竞争性磋商文件的要求编制响应文件，并保证所提供的全部资料的真实性、完整性及有效性，以使其报价对竞争性磋商文件做出实质性响应。</w:t>
      </w:r>
    </w:p>
    <w:p w14:paraId="7861AEC5">
      <w:pPr>
        <w:spacing w:line="360" w:lineRule="auto"/>
        <w:ind w:firstLine="480" w:firstLineChars="200"/>
        <w:rPr>
          <w:rFonts w:hint="eastAsia"/>
          <w:highlight w:val="none"/>
        </w:rPr>
      </w:pPr>
      <w:r>
        <w:rPr>
          <w:rFonts w:hint="eastAsia"/>
          <w:highlight w:val="none"/>
        </w:rPr>
        <w:t>8.2 供应商提交的响应文件及供应商与采购人或采购代理机构、竞争性磋商小组就有关竞争性磋商的所有来往函电均使用中文。供应商可以提交其它语言的资料，但应附中文注释，在有差异时以中文为准。</w:t>
      </w:r>
    </w:p>
    <w:p w14:paraId="567AC270">
      <w:pPr>
        <w:spacing w:line="360" w:lineRule="auto"/>
        <w:ind w:firstLine="480" w:firstLineChars="200"/>
        <w:rPr>
          <w:rFonts w:hint="eastAsia"/>
          <w:highlight w:val="none"/>
        </w:rPr>
      </w:pPr>
      <w:r>
        <w:rPr>
          <w:rFonts w:hint="eastAsia"/>
          <w:highlight w:val="none"/>
        </w:rPr>
        <w:t>8.3 计量单位应使用我国法定计量单位，未列明时应默认为我国法定计量单位。</w:t>
      </w:r>
    </w:p>
    <w:p w14:paraId="3E821ABB">
      <w:pPr>
        <w:spacing w:line="360" w:lineRule="auto"/>
        <w:ind w:firstLine="480" w:firstLineChars="200"/>
        <w:rPr>
          <w:rFonts w:hint="eastAsia"/>
          <w:highlight w:val="none"/>
        </w:rPr>
      </w:pPr>
      <w:r>
        <w:rPr>
          <w:rFonts w:hint="eastAsia"/>
          <w:highlight w:val="none"/>
        </w:rPr>
        <w:t>8.4 响应文件应采用书面形式，电报、传真、电子邮件形式的响应文件概不接受。</w:t>
      </w:r>
    </w:p>
    <w:p w14:paraId="20483BD2">
      <w:pPr>
        <w:spacing w:line="360" w:lineRule="auto"/>
        <w:ind w:firstLine="480" w:firstLineChars="200"/>
        <w:rPr>
          <w:rFonts w:hint="eastAsia"/>
          <w:highlight w:val="none"/>
        </w:rPr>
      </w:pPr>
      <w:r>
        <w:rPr>
          <w:rFonts w:hint="eastAsia"/>
          <w:highlight w:val="none"/>
        </w:rPr>
        <w:t>8.5 供应商应按竞争性磋商文件中提供的响应文件格式填写。</w:t>
      </w:r>
    </w:p>
    <w:p w14:paraId="0E2BB07F">
      <w:pPr>
        <w:pStyle w:val="4"/>
        <w:spacing w:line="360" w:lineRule="auto"/>
        <w:ind w:firstLine="0"/>
        <w:rPr>
          <w:rFonts w:hint="eastAsia"/>
          <w:bCs/>
          <w:szCs w:val="24"/>
          <w:highlight w:val="none"/>
        </w:rPr>
      </w:pPr>
      <w:bookmarkStart w:id="50" w:name="_Toc457851993"/>
      <w:bookmarkStart w:id="51" w:name="_Toc72335507"/>
      <w:r>
        <w:rPr>
          <w:rFonts w:hint="eastAsia"/>
          <w:bCs/>
          <w:szCs w:val="24"/>
          <w:highlight w:val="none"/>
        </w:rPr>
        <w:t>9、响应文件的组成</w:t>
      </w:r>
      <w:bookmarkEnd w:id="50"/>
      <w:bookmarkEnd w:id="51"/>
    </w:p>
    <w:p w14:paraId="3D1EBD5F">
      <w:pPr>
        <w:spacing w:line="360" w:lineRule="auto"/>
        <w:ind w:firstLine="480" w:firstLineChars="200"/>
        <w:rPr>
          <w:rFonts w:hint="eastAsia"/>
          <w:highlight w:val="none"/>
        </w:rPr>
      </w:pPr>
      <w:r>
        <w:rPr>
          <w:rFonts w:hint="eastAsia"/>
          <w:highlight w:val="none"/>
        </w:rPr>
        <w:t>9.1 “响应文件”至少应包括下列部份（包括但不限于）：</w:t>
      </w:r>
    </w:p>
    <w:p w14:paraId="5F53B90E">
      <w:pPr>
        <w:spacing w:line="360" w:lineRule="auto"/>
        <w:ind w:firstLine="480" w:firstLineChars="200"/>
        <w:rPr>
          <w:rFonts w:hint="eastAsia"/>
          <w:b/>
          <w:bCs/>
          <w:highlight w:val="none"/>
        </w:rPr>
      </w:pPr>
      <w:r>
        <w:rPr>
          <w:rFonts w:hint="eastAsia"/>
          <w:b/>
          <w:bCs/>
          <w:highlight w:val="none"/>
        </w:rPr>
        <w:t>A、商务部分</w:t>
      </w:r>
    </w:p>
    <w:p w14:paraId="29EF3C3B">
      <w:pPr>
        <w:pStyle w:val="25"/>
        <w:tabs>
          <w:tab w:val="right" w:leader="dot" w:pos="9736"/>
          <w:tab w:val="clear" w:pos="9360"/>
        </w:tabs>
        <w:spacing w:line="360" w:lineRule="auto"/>
        <w:ind w:firstLine="840" w:firstLineChars="350"/>
        <w:rPr>
          <w:rFonts w:hint="eastAsia"/>
          <w:b w:val="0"/>
          <w:caps w:val="0"/>
          <w:highlight w:val="none"/>
        </w:rPr>
      </w:pPr>
      <w:r>
        <w:rPr>
          <w:highlight w:val="none"/>
        </w:rPr>
        <w:fldChar w:fldCharType="begin"/>
      </w:r>
      <w:r>
        <w:rPr>
          <w:highlight w:val="none"/>
        </w:rPr>
        <w:instrText xml:space="preserve"> HYPERLINK \l "_Toc421880920" </w:instrText>
      </w:r>
      <w:r>
        <w:rPr>
          <w:highlight w:val="none"/>
        </w:rPr>
        <w:fldChar w:fldCharType="separate"/>
      </w:r>
      <w:r>
        <w:rPr>
          <w:rFonts w:hint="eastAsia"/>
          <w:b w:val="0"/>
          <w:caps w:val="0"/>
          <w:highlight w:val="none"/>
        </w:rPr>
        <w:t>1、应谈文件声明</w:t>
      </w:r>
      <w:r>
        <w:rPr>
          <w:rFonts w:hint="eastAsia"/>
          <w:b w:val="0"/>
          <w:caps w:val="0"/>
          <w:highlight w:val="none"/>
        </w:rPr>
        <w:fldChar w:fldCharType="end"/>
      </w:r>
    </w:p>
    <w:p w14:paraId="59E67DB9">
      <w:pPr>
        <w:pStyle w:val="25"/>
        <w:tabs>
          <w:tab w:val="right" w:leader="dot" w:pos="9736"/>
          <w:tab w:val="clear" w:pos="9360"/>
        </w:tabs>
        <w:spacing w:line="360" w:lineRule="auto"/>
        <w:ind w:firstLine="840" w:firstLineChars="350"/>
        <w:rPr>
          <w:rFonts w:hint="eastAsia"/>
          <w:b w:val="0"/>
          <w:caps w:val="0"/>
          <w:highlight w:val="none"/>
        </w:rPr>
      </w:pPr>
      <w:r>
        <w:rPr>
          <w:rFonts w:hint="eastAsia"/>
          <w:b w:val="0"/>
          <w:caps w:val="0"/>
          <w:highlight w:val="none"/>
        </w:rPr>
        <w:t>2、</w:t>
      </w:r>
      <w:r>
        <w:rPr>
          <w:highlight w:val="none"/>
        </w:rPr>
        <w:fldChar w:fldCharType="begin"/>
      </w:r>
      <w:r>
        <w:rPr>
          <w:highlight w:val="none"/>
        </w:rPr>
        <w:instrText xml:space="preserve"> HYPERLINK \l "_Toc421880922" </w:instrText>
      </w:r>
      <w:r>
        <w:rPr>
          <w:highlight w:val="none"/>
        </w:rPr>
        <w:fldChar w:fldCharType="separate"/>
      </w:r>
      <w:r>
        <w:rPr>
          <w:rFonts w:hint="eastAsia"/>
          <w:b w:val="0"/>
          <w:highlight w:val="none"/>
        </w:rPr>
        <w:t>报价一览表</w:t>
      </w:r>
      <w:r>
        <w:rPr>
          <w:rFonts w:hint="eastAsia"/>
          <w:b w:val="0"/>
          <w:highlight w:val="none"/>
        </w:rPr>
        <w:fldChar w:fldCharType="end"/>
      </w:r>
    </w:p>
    <w:p w14:paraId="7A71F753">
      <w:pPr>
        <w:pStyle w:val="25"/>
        <w:tabs>
          <w:tab w:val="right" w:leader="dot" w:pos="9736"/>
          <w:tab w:val="clear" w:pos="9360"/>
        </w:tabs>
        <w:spacing w:line="360" w:lineRule="auto"/>
        <w:ind w:firstLine="840" w:firstLineChars="350"/>
        <w:rPr>
          <w:rFonts w:hint="eastAsia"/>
          <w:b w:val="0"/>
          <w:caps w:val="0"/>
          <w:highlight w:val="none"/>
        </w:rPr>
      </w:pPr>
      <w:r>
        <w:rPr>
          <w:rFonts w:hint="eastAsia"/>
          <w:b w:val="0"/>
          <w:caps w:val="0"/>
          <w:highlight w:val="none"/>
        </w:rPr>
        <w:t>3、</w:t>
      </w:r>
      <w:r>
        <w:rPr>
          <w:highlight w:val="none"/>
        </w:rPr>
        <w:fldChar w:fldCharType="begin"/>
      </w:r>
      <w:r>
        <w:rPr>
          <w:highlight w:val="none"/>
        </w:rPr>
        <w:instrText xml:space="preserve"> HYPERLINK \l "_Toc421880923" </w:instrText>
      </w:r>
      <w:r>
        <w:rPr>
          <w:highlight w:val="none"/>
        </w:rPr>
        <w:fldChar w:fldCharType="separate"/>
      </w:r>
      <w:r>
        <w:rPr>
          <w:rFonts w:hint="eastAsia"/>
          <w:b w:val="0"/>
          <w:caps w:val="0"/>
          <w:highlight w:val="none"/>
        </w:rPr>
        <w:t>报价明细表</w:t>
      </w:r>
      <w:r>
        <w:rPr>
          <w:rFonts w:hint="eastAsia"/>
          <w:b w:val="0"/>
          <w:caps w:val="0"/>
          <w:highlight w:val="none"/>
        </w:rPr>
        <w:fldChar w:fldCharType="end"/>
      </w:r>
    </w:p>
    <w:p w14:paraId="012A122F">
      <w:pPr>
        <w:pStyle w:val="25"/>
        <w:tabs>
          <w:tab w:val="right" w:leader="dot" w:pos="9736"/>
          <w:tab w:val="clear" w:pos="9360"/>
        </w:tabs>
        <w:spacing w:line="360" w:lineRule="auto"/>
        <w:ind w:firstLine="840" w:firstLineChars="350"/>
        <w:rPr>
          <w:rFonts w:hint="eastAsia"/>
          <w:b w:val="0"/>
          <w:bCs/>
          <w:highlight w:val="none"/>
        </w:rPr>
      </w:pPr>
      <w:r>
        <w:rPr>
          <w:rFonts w:hint="eastAsia"/>
          <w:b w:val="0"/>
          <w:bCs/>
          <w:highlight w:val="none"/>
        </w:rPr>
        <w:t>4、法定代表人授权书和被授权代表人身份证及被授权代表人在该单位最新一期社保缴纳证明（开标当月不计）复印件加盖公章，或法定代表人证明书和法定代表人身份证复印件加盖公章。</w:t>
      </w:r>
    </w:p>
    <w:p w14:paraId="46083F42">
      <w:pPr>
        <w:pStyle w:val="25"/>
        <w:tabs>
          <w:tab w:val="right" w:leader="dot" w:pos="9736"/>
          <w:tab w:val="clear" w:pos="9360"/>
        </w:tabs>
        <w:spacing w:line="360" w:lineRule="auto"/>
        <w:ind w:firstLine="840" w:firstLineChars="350"/>
        <w:rPr>
          <w:rFonts w:hint="eastAsia"/>
          <w:b w:val="0"/>
          <w:caps w:val="0"/>
          <w:highlight w:val="none"/>
        </w:rPr>
      </w:pPr>
      <w:r>
        <w:rPr>
          <w:highlight w:val="none"/>
        </w:rPr>
        <w:fldChar w:fldCharType="begin"/>
      </w:r>
      <w:r>
        <w:rPr>
          <w:highlight w:val="none"/>
        </w:rPr>
        <w:instrText xml:space="preserve"> HYPERLINK \l "_Toc421880928" </w:instrText>
      </w:r>
      <w:r>
        <w:rPr>
          <w:highlight w:val="none"/>
        </w:rPr>
        <w:fldChar w:fldCharType="separate"/>
      </w:r>
      <w:r>
        <w:rPr>
          <w:rFonts w:hint="eastAsia"/>
          <w:b w:val="0"/>
          <w:bCs/>
          <w:highlight w:val="none"/>
        </w:rPr>
        <w:t>5、中小企业声明函</w:t>
      </w:r>
      <w:r>
        <w:rPr>
          <w:rFonts w:hint="eastAsia"/>
          <w:b w:val="0"/>
          <w:bCs/>
          <w:highlight w:val="none"/>
        </w:rPr>
        <w:fldChar w:fldCharType="end"/>
      </w:r>
    </w:p>
    <w:p w14:paraId="456FAAEF">
      <w:pPr>
        <w:pStyle w:val="25"/>
        <w:tabs>
          <w:tab w:val="right" w:leader="dot" w:pos="9736"/>
          <w:tab w:val="clear" w:pos="9360"/>
        </w:tabs>
        <w:spacing w:line="360" w:lineRule="auto"/>
        <w:ind w:firstLine="840" w:firstLineChars="350"/>
        <w:rPr>
          <w:rFonts w:hint="eastAsia"/>
          <w:b w:val="0"/>
          <w:caps w:val="0"/>
          <w:highlight w:val="none"/>
        </w:rPr>
      </w:pPr>
      <w:r>
        <w:rPr>
          <w:highlight w:val="none"/>
        </w:rPr>
        <w:fldChar w:fldCharType="begin"/>
      </w:r>
      <w:r>
        <w:rPr>
          <w:highlight w:val="none"/>
        </w:rPr>
        <w:instrText xml:space="preserve"> HYPERLINK \l "_Toc421880930" </w:instrText>
      </w:r>
      <w:r>
        <w:rPr>
          <w:highlight w:val="none"/>
        </w:rPr>
        <w:fldChar w:fldCharType="separate"/>
      </w:r>
      <w:r>
        <w:rPr>
          <w:rFonts w:hint="eastAsia"/>
          <w:b w:val="0"/>
          <w:caps w:val="0"/>
          <w:highlight w:val="none"/>
        </w:rPr>
        <w:t>6、声明书</w:t>
      </w:r>
      <w:r>
        <w:rPr>
          <w:rFonts w:hint="eastAsia"/>
          <w:b w:val="0"/>
          <w:caps w:val="0"/>
          <w:highlight w:val="none"/>
        </w:rPr>
        <w:fldChar w:fldCharType="end"/>
      </w:r>
    </w:p>
    <w:p w14:paraId="67FD5D9A">
      <w:pPr>
        <w:pStyle w:val="25"/>
        <w:tabs>
          <w:tab w:val="right" w:leader="dot" w:pos="9736"/>
          <w:tab w:val="clear" w:pos="9360"/>
        </w:tabs>
        <w:spacing w:line="360" w:lineRule="auto"/>
        <w:ind w:firstLine="840" w:firstLineChars="350"/>
        <w:rPr>
          <w:rFonts w:hint="eastAsia"/>
          <w:b w:val="0"/>
          <w:caps w:val="0"/>
          <w:highlight w:val="none"/>
        </w:rPr>
      </w:pPr>
      <w:r>
        <w:rPr>
          <w:rFonts w:hint="eastAsia"/>
          <w:b w:val="0"/>
          <w:caps w:val="0"/>
          <w:highlight w:val="none"/>
        </w:rPr>
        <w:t>7、承诺书</w:t>
      </w:r>
    </w:p>
    <w:p w14:paraId="7DFCC16C">
      <w:pPr>
        <w:pStyle w:val="25"/>
        <w:tabs>
          <w:tab w:val="right" w:leader="dot" w:pos="9736"/>
          <w:tab w:val="clear" w:pos="9360"/>
        </w:tabs>
        <w:spacing w:line="360" w:lineRule="auto"/>
        <w:ind w:firstLine="840" w:firstLineChars="350"/>
        <w:rPr>
          <w:rFonts w:hint="eastAsia"/>
          <w:b w:val="0"/>
          <w:caps w:val="0"/>
          <w:highlight w:val="none"/>
        </w:rPr>
      </w:pPr>
      <w:r>
        <w:rPr>
          <w:rFonts w:hint="eastAsia"/>
          <w:b w:val="0"/>
          <w:caps w:val="0"/>
          <w:highlight w:val="none"/>
        </w:rPr>
        <w:t>8、与投标人关联企业情况表</w:t>
      </w:r>
    </w:p>
    <w:p w14:paraId="64953C53">
      <w:pPr>
        <w:pStyle w:val="25"/>
        <w:tabs>
          <w:tab w:val="right" w:leader="dot" w:pos="9736"/>
          <w:tab w:val="clear" w:pos="9360"/>
        </w:tabs>
        <w:spacing w:line="360" w:lineRule="auto"/>
        <w:ind w:firstLine="840" w:firstLineChars="350"/>
        <w:rPr>
          <w:rFonts w:hint="eastAsia"/>
          <w:b w:val="0"/>
          <w:caps w:val="0"/>
          <w:highlight w:val="none"/>
        </w:rPr>
      </w:pPr>
      <w:r>
        <w:rPr>
          <w:rFonts w:hint="eastAsia"/>
          <w:b w:val="0"/>
          <w:caps w:val="0"/>
          <w:highlight w:val="none"/>
        </w:rPr>
        <w:t>9、拟分包计划表</w:t>
      </w:r>
    </w:p>
    <w:p w14:paraId="4C38322A">
      <w:pPr>
        <w:pStyle w:val="25"/>
        <w:tabs>
          <w:tab w:val="right" w:leader="dot" w:pos="9736"/>
          <w:tab w:val="clear" w:pos="9360"/>
        </w:tabs>
        <w:spacing w:line="360" w:lineRule="auto"/>
        <w:ind w:firstLine="840" w:firstLineChars="350"/>
        <w:rPr>
          <w:rFonts w:hint="eastAsia"/>
          <w:b w:val="0"/>
          <w:caps w:val="0"/>
          <w:highlight w:val="none"/>
        </w:rPr>
      </w:pPr>
      <w:r>
        <w:rPr>
          <w:highlight w:val="none"/>
        </w:rPr>
        <w:fldChar w:fldCharType="begin"/>
      </w:r>
      <w:r>
        <w:rPr>
          <w:highlight w:val="none"/>
        </w:rPr>
        <w:instrText xml:space="preserve"> HYPERLINK \l "_Toc421880931" </w:instrText>
      </w:r>
      <w:r>
        <w:rPr>
          <w:highlight w:val="none"/>
        </w:rPr>
        <w:fldChar w:fldCharType="separate"/>
      </w:r>
      <w:r>
        <w:rPr>
          <w:rFonts w:hint="eastAsia"/>
          <w:b w:val="0"/>
          <w:caps w:val="0"/>
          <w:highlight w:val="none"/>
        </w:rPr>
        <w:t>10、资格证明文件</w:t>
      </w:r>
      <w:r>
        <w:rPr>
          <w:rFonts w:hint="eastAsia"/>
          <w:b w:val="0"/>
          <w:caps w:val="0"/>
          <w:highlight w:val="none"/>
        </w:rPr>
        <w:fldChar w:fldCharType="end"/>
      </w:r>
    </w:p>
    <w:p w14:paraId="22E95252">
      <w:pPr>
        <w:numPr>
          <w:ilvl w:val="0"/>
          <w:numId w:val="5"/>
        </w:numPr>
        <w:adjustRightInd w:val="0"/>
        <w:snapToGrid w:val="0"/>
        <w:spacing w:line="360" w:lineRule="auto"/>
        <w:ind w:firstLine="960" w:firstLineChars="400"/>
        <w:rPr>
          <w:rFonts w:hint="eastAsia"/>
          <w:highlight w:val="none"/>
        </w:rPr>
      </w:pPr>
      <w:r>
        <w:rPr>
          <w:rFonts w:hint="eastAsia"/>
          <w:highlight w:val="none"/>
        </w:rPr>
        <w:t>营业执照（若以分支机构名义投标的，应当取得其法人单位的授权书）</w:t>
      </w:r>
      <w:r>
        <w:rPr>
          <w:rFonts w:hint="eastAsia"/>
          <w:highlight w:val="none"/>
          <w:lang w:eastAsia="zh-CN"/>
        </w:rPr>
        <w:t>、</w:t>
      </w:r>
      <w:r>
        <w:rPr>
          <w:rFonts w:hint="eastAsia"/>
          <w:highlight w:val="none"/>
          <w:lang w:val="en-US" w:eastAsia="zh-CN"/>
        </w:rPr>
        <w:t>资质证书</w:t>
      </w:r>
      <w:r>
        <w:rPr>
          <w:rFonts w:hint="eastAsia"/>
          <w:highlight w:val="none"/>
        </w:rPr>
        <w:t>；</w:t>
      </w:r>
    </w:p>
    <w:p w14:paraId="6C07DE31">
      <w:pPr>
        <w:numPr>
          <w:ilvl w:val="0"/>
          <w:numId w:val="5"/>
        </w:numPr>
        <w:tabs>
          <w:tab w:val="clear" w:pos="0"/>
        </w:tabs>
        <w:adjustRightInd w:val="0"/>
        <w:snapToGrid w:val="0"/>
        <w:spacing w:line="360" w:lineRule="auto"/>
        <w:ind w:firstLine="960" w:firstLineChars="400"/>
        <w:rPr>
          <w:rFonts w:hint="eastAsia"/>
          <w:highlight w:val="none"/>
        </w:rPr>
      </w:pPr>
      <w:r>
        <w:rPr>
          <w:rFonts w:hint="eastAsia"/>
          <w:highlight w:val="none"/>
        </w:rPr>
        <w:t>财务状况及税收、社会保障资金缴纳情况声明函。</w:t>
      </w:r>
    </w:p>
    <w:p w14:paraId="04E3E5CE">
      <w:pPr>
        <w:numPr>
          <w:ilvl w:val="0"/>
          <w:numId w:val="5"/>
        </w:numPr>
        <w:tabs>
          <w:tab w:val="clear" w:pos="0"/>
        </w:tabs>
        <w:adjustRightInd w:val="0"/>
        <w:snapToGrid w:val="0"/>
        <w:spacing w:line="360" w:lineRule="auto"/>
        <w:ind w:firstLine="960" w:firstLineChars="400"/>
        <w:rPr>
          <w:rFonts w:hint="eastAsia"/>
          <w:highlight w:val="none"/>
        </w:rPr>
      </w:pPr>
      <w:r>
        <w:rPr>
          <w:rFonts w:hint="eastAsia"/>
          <w:highlight w:val="none"/>
        </w:rPr>
        <w:t>近三年在经营活动中无重大违法记录的承诺书。</w:t>
      </w:r>
    </w:p>
    <w:p w14:paraId="35F3C7CF">
      <w:pPr>
        <w:numPr>
          <w:ilvl w:val="0"/>
          <w:numId w:val="5"/>
        </w:numPr>
        <w:tabs>
          <w:tab w:val="clear" w:pos="0"/>
        </w:tabs>
        <w:adjustRightInd w:val="0"/>
        <w:snapToGrid w:val="0"/>
        <w:spacing w:line="360" w:lineRule="auto"/>
        <w:ind w:firstLine="960" w:firstLineChars="400"/>
        <w:rPr>
          <w:rFonts w:hint="eastAsia"/>
          <w:highlight w:val="none"/>
        </w:rPr>
      </w:pPr>
      <w:r>
        <w:rPr>
          <w:rFonts w:hint="eastAsia"/>
          <w:highlight w:val="none"/>
        </w:rPr>
        <w:t>响应文件提交截止时间前3年内未被列入“信用中国”网站(www.creditchina.gov.cn)失信被执行人名单、重大税收违法案件当事人名单、政府采购严重违法失信名单和中国政府采购网(www.ccgp.gov.cn)政府采购严重违法失信行为信息记录名单的供应商。</w:t>
      </w:r>
    </w:p>
    <w:p w14:paraId="64451DF9">
      <w:pPr>
        <w:spacing w:line="360" w:lineRule="auto"/>
        <w:ind w:firstLine="480" w:firstLineChars="200"/>
        <w:rPr>
          <w:rFonts w:hint="eastAsia"/>
          <w:b/>
          <w:bCs/>
          <w:highlight w:val="none"/>
        </w:rPr>
      </w:pPr>
      <w:r>
        <w:rPr>
          <w:rFonts w:hint="eastAsia"/>
          <w:b/>
          <w:bCs/>
          <w:highlight w:val="none"/>
        </w:rPr>
        <w:t>B、技术部分</w:t>
      </w:r>
    </w:p>
    <w:p w14:paraId="4A9BC820">
      <w:pPr>
        <w:spacing w:line="360" w:lineRule="auto"/>
        <w:rPr>
          <w:rFonts w:hint="eastAsia"/>
          <w:highlight w:val="none"/>
        </w:rPr>
      </w:pPr>
      <w:r>
        <w:rPr>
          <w:rFonts w:hint="eastAsia"/>
          <w:highlight w:val="none"/>
        </w:rPr>
        <w:t>包括但不限于以下内容：</w:t>
      </w:r>
    </w:p>
    <w:p w14:paraId="55595854">
      <w:pPr>
        <w:pStyle w:val="31"/>
        <w:tabs>
          <w:tab w:val="right" w:leader="dot" w:pos="9736"/>
          <w:tab w:val="clear" w:pos="9540"/>
        </w:tabs>
        <w:spacing w:line="360" w:lineRule="auto"/>
        <w:rPr>
          <w:rFonts w:hint="eastAsia" w:cs="Times New Roman"/>
          <w:highlight w:val="none"/>
        </w:rPr>
      </w:pPr>
      <w:r>
        <w:rPr>
          <w:rFonts w:hint="eastAsia" w:cs="Times New Roman"/>
          <w:highlight w:val="none"/>
        </w:rPr>
        <w:t>（1）项目需求理解；</w:t>
      </w:r>
    </w:p>
    <w:p w14:paraId="22F634D6">
      <w:pPr>
        <w:pStyle w:val="31"/>
        <w:tabs>
          <w:tab w:val="right" w:leader="dot" w:pos="9736"/>
          <w:tab w:val="clear" w:pos="9540"/>
        </w:tabs>
        <w:spacing w:line="360" w:lineRule="auto"/>
        <w:rPr>
          <w:rFonts w:hint="eastAsia" w:cs="Times New Roman"/>
          <w:highlight w:val="none"/>
        </w:rPr>
      </w:pPr>
      <w:r>
        <w:rPr>
          <w:rFonts w:hint="eastAsia" w:cs="Times New Roman"/>
          <w:highlight w:val="none"/>
        </w:rPr>
        <w:t>（</w:t>
      </w:r>
      <w:r>
        <w:rPr>
          <w:rFonts w:hint="eastAsia" w:cs="Times New Roman"/>
          <w:highlight w:val="none"/>
          <w:lang w:val="en-US" w:eastAsia="zh-CN"/>
        </w:rPr>
        <w:t>2</w:t>
      </w:r>
      <w:r>
        <w:rPr>
          <w:rFonts w:hint="eastAsia" w:cs="Times New Roman"/>
          <w:highlight w:val="none"/>
        </w:rPr>
        <w:t>）服务方案及技术思路（包括对方案层次、内容、深度的把握；工作思路；编制理念等）；</w:t>
      </w:r>
    </w:p>
    <w:p w14:paraId="13EB781A">
      <w:pPr>
        <w:pStyle w:val="31"/>
        <w:tabs>
          <w:tab w:val="right" w:leader="dot" w:pos="9736"/>
          <w:tab w:val="clear" w:pos="9540"/>
        </w:tabs>
        <w:spacing w:line="360" w:lineRule="auto"/>
        <w:rPr>
          <w:rFonts w:hint="eastAsia" w:cs="Times New Roman"/>
          <w:highlight w:val="none"/>
        </w:rPr>
      </w:pPr>
      <w:r>
        <w:rPr>
          <w:rFonts w:hint="eastAsia" w:cs="Times New Roman"/>
          <w:highlight w:val="none"/>
        </w:rPr>
        <w:t>（</w:t>
      </w:r>
      <w:r>
        <w:rPr>
          <w:rFonts w:hint="eastAsia" w:cs="Times New Roman"/>
          <w:highlight w:val="none"/>
          <w:lang w:val="en-US" w:eastAsia="zh-CN"/>
        </w:rPr>
        <w:t>3</w:t>
      </w:r>
      <w:r>
        <w:rPr>
          <w:rFonts w:hint="eastAsia" w:cs="Times New Roman"/>
          <w:highlight w:val="none"/>
        </w:rPr>
        <w:t>）服务质量保证措施；</w:t>
      </w:r>
    </w:p>
    <w:p w14:paraId="68567BC3">
      <w:pPr>
        <w:pStyle w:val="31"/>
        <w:tabs>
          <w:tab w:val="right" w:leader="dot" w:pos="9736"/>
          <w:tab w:val="clear" w:pos="9540"/>
        </w:tabs>
        <w:spacing w:line="360" w:lineRule="auto"/>
        <w:rPr>
          <w:rFonts w:hint="eastAsia" w:cs="Times New Roman"/>
          <w:highlight w:val="none"/>
        </w:rPr>
      </w:pPr>
      <w:r>
        <w:rPr>
          <w:rFonts w:hint="eastAsia" w:cs="Times New Roman"/>
          <w:highlight w:val="none"/>
        </w:rPr>
        <w:t>（</w:t>
      </w:r>
      <w:r>
        <w:rPr>
          <w:rFonts w:hint="eastAsia" w:cs="Times New Roman"/>
          <w:highlight w:val="none"/>
          <w:lang w:val="en-US" w:eastAsia="zh-CN"/>
        </w:rPr>
        <w:t>4</w:t>
      </w:r>
      <w:r>
        <w:rPr>
          <w:rFonts w:hint="eastAsia" w:cs="Times New Roman"/>
          <w:highlight w:val="none"/>
        </w:rPr>
        <w:t>）服务承诺；</w:t>
      </w:r>
    </w:p>
    <w:p w14:paraId="01BA56BE">
      <w:pPr>
        <w:pStyle w:val="31"/>
        <w:tabs>
          <w:tab w:val="right" w:leader="dot" w:pos="9736"/>
          <w:tab w:val="clear" w:pos="9540"/>
        </w:tabs>
        <w:spacing w:line="360" w:lineRule="auto"/>
        <w:rPr>
          <w:rFonts w:hint="eastAsia" w:cs="Times New Roman"/>
          <w:highlight w:val="none"/>
        </w:rPr>
      </w:pPr>
      <w:r>
        <w:rPr>
          <w:rFonts w:hint="eastAsia" w:cs="Times New Roman"/>
          <w:highlight w:val="none"/>
        </w:rPr>
        <w:t>（</w:t>
      </w:r>
      <w:r>
        <w:rPr>
          <w:rFonts w:hint="eastAsia" w:cs="Times New Roman"/>
          <w:highlight w:val="none"/>
          <w:lang w:val="en-US" w:eastAsia="zh-CN"/>
        </w:rPr>
        <w:t>5</w:t>
      </w:r>
      <w:r>
        <w:rPr>
          <w:rFonts w:hint="eastAsia" w:cs="Times New Roman"/>
          <w:highlight w:val="none"/>
        </w:rPr>
        <w:t>）项目管理组织架构及管理制度</w:t>
      </w:r>
    </w:p>
    <w:p w14:paraId="188E0CF4">
      <w:pPr>
        <w:pStyle w:val="31"/>
        <w:tabs>
          <w:tab w:val="right" w:leader="dot" w:pos="9736"/>
          <w:tab w:val="clear" w:pos="9540"/>
        </w:tabs>
        <w:spacing w:line="360" w:lineRule="auto"/>
        <w:rPr>
          <w:rFonts w:hint="eastAsia" w:cs="Times New Roman"/>
          <w:color w:val="FF0000"/>
          <w:highlight w:val="none"/>
        </w:rPr>
      </w:pPr>
      <w:r>
        <w:rPr>
          <w:rFonts w:hint="eastAsia" w:cs="Times New Roman"/>
          <w:highlight w:val="none"/>
        </w:rPr>
        <w:t>（</w:t>
      </w:r>
      <w:r>
        <w:rPr>
          <w:rFonts w:hint="eastAsia" w:cs="Times New Roman"/>
          <w:highlight w:val="none"/>
          <w:lang w:val="en-US" w:eastAsia="zh-CN"/>
        </w:rPr>
        <w:t>6</w:t>
      </w:r>
      <w:r>
        <w:rPr>
          <w:rFonts w:hint="eastAsia" w:cs="Times New Roman"/>
          <w:highlight w:val="none"/>
        </w:rPr>
        <w:t>）2023年1月1</w:t>
      </w:r>
      <w:r>
        <w:rPr>
          <w:rFonts w:hint="eastAsia" w:cs="Times New Roman"/>
          <w:color w:val="000000" w:themeColor="text1"/>
          <w:highlight w:val="none"/>
          <w14:textFill>
            <w14:solidFill>
              <w14:schemeClr w14:val="tx1"/>
            </w14:solidFill>
          </w14:textFill>
        </w:rPr>
        <w:t>日类似项目经验（如有）；</w:t>
      </w:r>
    </w:p>
    <w:p w14:paraId="1C93A0B8">
      <w:pPr>
        <w:pStyle w:val="31"/>
        <w:tabs>
          <w:tab w:val="right" w:leader="dot" w:pos="9736"/>
          <w:tab w:val="clear" w:pos="9540"/>
        </w:tabs>
        <w:spacing w:line="360" w:lineRule="auto"/>
        <w:rPr>
          <w:rFonts w:hint="eastAsia" w:cs="Times New Roman"/>
          <w:highlight w:val="none"/>
        </w:rPr>
      </w:pPr>
      <w:r>
        <w:rPr>
          <w:rFonts w:hint="eastAsia" w:cs="Times New Roman"/>
          <w:highlight w:val="none"/>
        </w:rPr>
        <w:t>（</w:t>
      </w:r>
      <w:r>
        <w:rPr>
          <w:rFonts w:hint="eastAsia" w:cs="Times New Roman"/>
          <w:highlight w:val="none"/>
          <w:lang w:val="en-US" w:eastAsia="zh-CN"/>
        </w:rPr>
        <w:t>7</w:t>
      </w:r>
      <w:r>
        <w:rPr>
          <w:rFonts w:hint="eastAsia" w:cs="Times New Roman"/>
          <w:highlight w:val="none"/>
        </w:rPr>
        <w:t>）应谈人认为可以证明其指定代理商能力、业绩、信誉和信用的其他材料；</w:t>
      </w:r>
    </w:p>
    <w:p w14:paraId="66896F89">
      <w:pPr>
        <w:spacing w:line="360" w:lineRule="auto"/>
        <w:ind w:firstLine="240" w:firstLineChars="100"/>
        <w:rPr>
          <w:rFonts w:hint="eastAsia"/>
          <w:highlight w:val="none"/>
        </w:rPr>
      </w:pPr>
      <w:r>
        <w:rPr>
          <w:rFonts w:hint="eastAsia"/>
          <w:highlight w:val="none"/>
        </w:rPr>
        <w:t>（</w:t>
      </w:r>
      <w:r>
        <w:rPr>
          <w:rFonts w:hint="eastAsia"/>
          <w:highlight w:val="none"/>
          <w:lang w:val="en-US" w:eastAsia="zh-CN"/>
        </w:rPr>
        <w:t>8</w:t>
      </w:r>
      <w:r>
        <w:rPr>
          <w:rFonts w:hint="eastAsia"/>
          <w:highlight w:val="none"/>
        </w:rPr>
        <w:t>）按照《项目需求》要求提供的其他技术性资料以及投标人需要说明的其他事项。</w:t>
      </w:r>
    </w:p>
    <w:p w14:paraId="4188B98E">
      <w:pPr>
        <w:spacing w:line="360" w:lineRule="auto"/>
        <w:ind w:firstLine="480" w:firstLineChars="200"/>
        <w:rPr>
          <w:rFonts w:hint="eastAsia"/>
          <w:highlight w:val="none"/>
        </w:rPr>
      </w:pPr>
      <w:r>
        <w:rPr>
          <w:rFonts w:hint="eastAsia"/>
          <w:highlight w:val="none"/>
        </w:rPr>
        <w:t>9.2 在竞争性磋商过程中，供应商根据竞争性磋商小组书面形式要求提交的最后报价(或者重新提交的响应文件和最后报价)是响应文件的有效组成部分。</w:t>
      </w:r>
    </w:p>
    <w:p w14:paraId="35434DCF">
      <w:pPr>
        <w:spacing w:line="360" w:lineRule="auto"/>
        <w:ind w:firstLine="480" w:firstLineChars="200"/>
        <w:rPr>
          <w:rFonts w:hint="eastAsia"/>
          <w:highlight w:val="none"/>
        </w:rPr>
      </w:pPr>
      <w:r>
        <w:rPr>
          <w:rFonts w:hint="eastAsia"/>
          <w:highlight w:val="none"/>
        </w:rPr>
        <w:t>9.3 竞争性磋商文件规定可能发生实质性变动的，供应商应当在《技术/商务响应与偏离表》中对应内容注明。</w:t>
      </w:r>
    </w:p>
    <w:p w14:paraId="720CD424">
      <w:pPr>
        <w:spacing w:line="360" w:lineRule="auto"/>
        <w:ind w:firstLine="480" w:firstLineChars="200"/>
        <w:rPr>
          <w:rFonts w:hint="eastAsia"/>
          <w:highlight w:val="none"/>
        </w:rPr>
      </w:pPr>
      <w:r>
        <w:rPr>
          <w:rFonts w:hint="eastAsia"/>
          <w:highlight w:val="none"/>
        </w:rPr>
        <w:t>9.4 根据《政府采购法》第四十二条的规定，供应商无论成交与否，其响应文件不予退还。</w:t>
      </w:r>
    </w:p>
    <w:p w14:paraId="71335007">
      <w:pPr>
        <w:pStyle w:val="4"/>
        <w:spacing w:line="360" w:lineRule="auto"/>
        <w:ind w:firstLine="0"/>
        <w:rPr>
          <w:rFonts w:hint="eastAsia"/>
          <w:bCs/>
          <w:szCs w:val="24"/>
          <w:highlight w:val="none"/>
        </w:rPr>
      </w:pPr>
      <w:bookmarkStart w:id="52" w:name="_Toc457851994"/>
      <w:bookmarkStart w:id="53" w:name="_Toc72335508"/>
      <w:r>
        <w:rPr>
          <w:rFonts w:hint="eastAsia"/>
          <w:bCs/>
          <w:szCs w:val="24"/>
          <w:highlight w:val="none"/>
        </w:rPr>
        <w:t>10、响应文件格式</w:t>
      </w:r>
      <w:bookmarkEnd w:id="52"/>
      <w:bookmarkEnd w:id="53"/>
    </w:p>
    <w:p w14:paraId="58920C8F">
      <w:pPr>
        <w:spacing w:line="360" w:lineRule="auto"/>
        <w:ind w:firstLine="480" w:firstLineChars="200"/>
        <w:rPr>
          <w:rFonts w:hint="eastAsia"/>
          <w:highlight w:val="none"/>
        </w:rPr>
      </w:pPr>
      <w:r>
        <w:rPr>
          <w:rFonts w:hint="eastAsia"/>
          <w:highlight w:val="none"/>
        </w:rPr>
        <w:t>10.1竞争性磋商文件中凡提供响应文件格式的内容，报价人应按提供的格式填写，其余未提供格式的内容由报价人自行设计编写。</w:t>
      </w:r>
    </w:p>
    <w:p w14:paraId="75F8B911">
      <w:pPr>
        <w:spacing w:line="360" w:lineRule="auto"/>
        <w:ind w:firstLine="480" w:firstLineChars="200"/>
        <w:rPr>
          <w:rFonts w:hint="eastAsia"/>
          <w:highlight w:val="none"/>
        </w:rPr>
      </w:pPr>
      <w:r>
        <w:rPr>
          <w:rFonts w:hint="eastAsia"/>
          <w:highlight w:val="none"/>
        </w:rPr>
        <w:t>10.2 响应文件应编排清楚，编制目录，易于阅读和评审。</w:t>
      </w:r>
    </w:p>
    <w:p w14:paraId="61E0A953">
      <w:pPr>
        <w:pStyle w:val="4"/>
        <w:spacing w:line="360" w:lineRule="auto"/>
        <w:ind w:firstLine="0"/>
        <w:rPr>
          <w:rFonts w:hint="eastAsia"/>
          <w:bCs/>
          <w:szCs w:val="24"/>
          <w:highlight w:val="none"/>
        </w:rPr>
      </w:pPr>
      <w:bookmarkStart w:id="54" w:name="_Toc457851995"/>
      <w:bookmarkStart w:id="55" w:name="_Toc72335509"/>
      <w:r>
        <w:rPr>
          <w:rFonts w:hint="eastAsia"/>
          <w:bCs/>
          <w:szCs w:val="24"/>
          <w:highlight w:val="none"/>
        </w:rPr>
        <w:t>11、报价</w:t>
      </w:r>
      <w:bookmarkEnd w:id="54"/>
      <w:bookmarkEnd w:id="55"/>
    </w:p>
    <w:p w14:paraId="02CCC194">
      <w:pPr>
        <w:spacing w:line="360" w:lineRule="auto"/>
        <w:ind w:firstLine="480" w:firstLineChars="200"/>
        <w:rPr>
          <w:rFonts w:hint="eastAsia"/>
          <w:highlight w:val="none"/>
        </w:rPr>
      </w:pPr>
      <w:r>
        <w:rPr>
          <w:rFonts w:hint="eastAsia"/>
          <w:highlight w:val="none"/>
        </w:rPr>
        <w:t>11.1报价方应提供以人民币为结算单位的报价。</w:t>
      </w:r>
    </w:p>
    <w:p w14:paraId="042AF7E0">
      <w:pPr>
        <w:spacing w:line="360" w:lineRule="auto"/>
        <w:ind w:firstLine="480" w:firstLineChars="200"/>
        <w:rPr>
          <w:rFonts w:hint="eastAsia"/>
          <w:highlight w:val="none"/>
        </w:rPr>
      </w:pPr>
      <w:r>
        <w:rPr>
          <w:rFonts w:hint="eastAsia"/>
          <w:highlight w:val="none"/>
        </w:rPr>
        <w:t>11.2报价企业的报价应为完成本项目所需的全部费用，包括但不限于以下费用：</w:t>
      </w:r>
    </w:p>
    <w:p w14:paraId="7F740D30">
      <w:pPr>
        <w:spacing w:line="360" w:lineRule="auto"/>
        <w:ind w:firstLine="480" w:firstLineChars="200"/>
        <w:rPr>
          <w:rFonts w:hint="eastAsia"/>
          <w:highlight w:val="none"/>
        </w:rPr>
      </w:pPr>
      <w:r>
        <w:rPr>
          <w:rFonts w:hint="eastAsia"/>
          <w:highlight w:val="none"/>
        </w:rPr>
        <w:t>人工、管理费、利润、税金、其它费用等所有费用。</w:t>
      </w:r>
    </w:p>
    <w:p w14:paraId="222ADFD8">
      <w:pPr>
        <w:spacing w:line="360" w:lineRule="auto"/>
        <w:ind w:firstLine="480" w:firstLineChars="200"/>
        <w:rPr>
          <w:rFonts w:hint="eastAsia"/>
          <w:highlight w:val="none"/>
        </w:rPr>
      </w:pPr>
      <w:r>
        <w:rPr>
          <w:rFonts w:hint="eastAsia"/>
          <w:highlight w:val="none"/>
        </w:rPr>
        <w:t>11.3 报价人的每项报价不得超过采购项目给出的最高限价，采购项目最高限价详见竞争性磋商公告或本竞争性磋商文件的其他具体要求。</w:t>
      </w:r>
    </w:p>
    <w:p w14:paraId="61DA1DEF">
      <w:pPr>
        <w:spacing w:line="360" w:lineRule="auto"/>
        <w:ind w:firstLine="480" w:firstLineChars="200"/>
        <w:rPr>
          <w:rFonts w:hint="eastAsia"/>
          <w:highlight w:val="none"/>
        </w:rPr>
      </w:pPr>
      <w:r>
        <w:rPr>
          <w:rFonts w:hint="eastAsia"/>
          <w:highlight w:val="none"/>
        </w:rPr>
        <w:t>11.4 自响应文件递交截止日期算起，响应文件有效期为90日历天。</w:t>
      </w:r>
    </w:p>
    <w:p w14:paraId="07BB4A12">
      <w:pPr>
        <w:pStyle w:val="4"/>
        <w:spacing w:line="360" w:lineRule="auto"/>
        <w:ind w:firstLine="0"/>
        <w:rPr>
          <w:rFonts w:hint="eastAsia"/>
          <w:bCs/>
          <w:szCs w:val="24"/>
          <w:highlight w:val="none"/>
        </w:rPr>
      </w:pPr>
      <w:bookmarkStart w:id="56" w:name="_Toc457851996"/>
      <w:bookmarkStart w:id="57" w:name="_Toc72335510"/>
      <w:r>
        <w:rPr>
          <w:rFonts w:hint="eastAsia"/>
          <w:bCs/>
          <w:szCs w:val="24"/>
          <w:highlight w:val="none"/>
        </w:rPr>
        <w:t>12、响应文件的形式</w:t>
      </w:r>
      <w:bookmarkEnd w:id="56"/>
      <w:bookmarkEnd w:id="57"/>
    </w:p>
    <w:p w14:paraId="37154BC3">
      <w:pPr>
        <w:spacing w:line="360" w:lineRule="auto"/>
        <w:ind w:firstLine="480" w:firstLineChars="200"/>
        <w:rPr>
          <w:rFonts w:hint="eastAsia"/>
          <w:highlight w:val="none"/>
        </w:rPr>
      </w:pPr>
      <w:r>
        <w:rPr>
          <w:rFonts w:hint="eastAsia"/>
          <w:highlight w:val="none"/>
        </w:rPr>
        <w:t>12.1</w:t>
      </w:r>
      <w:r>
        <w:rPr>
          <w:rFonts w:hint="eastAsia"/>
          <w:b/>
          <w:highlight w:val="none"/>
        </w:rPr>
        <w:t>响应文件正本一份、副本二份</w:t>
      </w:r>
      <w:r>
        <w:rPr>
          <w:rFonts w:hint="eastAsia"/>
          <w:highlight w:val="none"/>
        </w:rPr>
        <w:t>、</w:t>
      </w:r>
      <w:r>
        <w:rPr>
          <w:rFonts w:hint="eastAsia"/>
          <w:b/>
          <w:highlight w:val="none"/>
        </w:rPr>
        <w:t>电子投标文件一套【与书面文件一致，未盖章的非图片式的doc版及签字盖章后扫描的PDF版，电子响应文件载入U盘（拷贝后退还）】</w:t>
      </w:r>
      <w:r>
        <w:rPr>
          <w:rFonts w:hint="eastAsia"/>
          <w:highlight w:val="none"/>
        </w:rPr>
        <w:t>。报价人应按照竞争性磋商文件要求，在响应文件适当的位置填写报价人全称并加盖公章，同时由法定代表人或正式授权的代表签字。</w:t>
      </w:r>
    </w:p>
    <w:p w14:paraId="47084CA9">
      <w:pPr>
        <w:spacing w:line="360" w:lineRule="auto"/>
        <w:ind w:firstLine="480" w:firstLineChars="200"/>
        <w:rPr>
          <w:rFonts w:hint="eastAsia"/>
          <w:highlight w:val="none"/>
        </w:rPr>
      </w:pPr>
      <w:r>
        <w:rPr>
          <w:rFonts w:hint="eastAsia"/>
          <w:highlight w:val="none"/>
        </w:rPr>
        <w:t>12.2 在竞争性磋商过程中，报价人按竞争性磋商文件规定和竞争性磋商小组要求提交的最后报价(或者重新提交的响应文件和最后报价)。</w:t>
      </w:r>
    </w:p>
    <w:p w14:paraId="2471BA8D">
      <w:pPr>
        <w:pStyle w:val="3"/>
        <w:spacing w:before="468" w:beforeLines="150" w:after="312" w:afterLines="100" w:line="360" w:lineRule="auto"/>
        <w:jc w:val="both"/>
        <w:rPr>
          <w:rFonts w:hint="eastAsia" w:ascii="宋体" w:hAnsi="宋体"/>
          <w:sz w:val="28"/>
          <w:szCs w:val="28"/>
          <w:highlight w:val="none"/>
        </w:rPr>
      </w:pPr>
      <w:bookmarkStart w:id="58" w:name="_Toc415478487"/>
      <w:bookmarkStart w:id="59" w:name="_Toc72335511"/>
      <w:bookmarkStart w:id="60" w:name="_Toc457851997"/>
      <w:bookmarkStart w:id="61" w:name="_Toc115756027"/>
      <w:r>
        <w:rPr>
          <w:rFonts w:hint="eastAsia" w:ascii="宋体" w:hAnsi="宋体"/>
          <w:sz w:val="28"/>
          <w:szCs w:val="28"/>
          <w:highlight w:val="none"/>
        </w:rPr>
        <w:t>四、响应文件的递交</w:t>
      </w:r>
      <w:bookmarkEnd w:id="58"/>
      <w:bookmarkEnd w:id="59"/>
      <w:bookmarkEnd w:id="60"/>
    </w:p>
    <w:p w14:paraId="3A0E6DD1">
      <w:pPr>
        <w:pStyle w:val="4"/>
        <w:spacing w:line="360" w:lineRule="auto"/>
        <w:ind w:firstLine="0"/>
        <w:rPr>
          <w:rFonts w:hint="eastAsia"/>
          <w:bCs/>
          <w:szCs w:val="24"/>
          <w:highlight w:val="none"/>
        </w:rPr>
      </w:pPr>
      <w:bookmarkStart w:id="62" w:name="_Toc457851998"/>
      <w:bookmarkStart w:id="63" w:name="_Toc72335512"/>
      <w:r>
        <w:rPr>
          <w:rFonts w:hint="eastAsia"/>
          <w:bCs/>
          <w:szCs w:val="24"/>
          <w:highlight w:val="none"/>
        </w:rPr>
        <w:t>13、响应文件的递交</w:t>
      </w:r>
      <w:bookmarkEnd w:id="62"/>
      <w:bookmarkEnd w:id="63"/>
    </w:p>
    <w:p w14:paraId="5697C66A">
      <w:pPr>
        <w:spacing w:line="360" w:lineRule="auto"/>
        <w:ind w:firstLine="480" w:firstLineChars="200"/>
        <w:rPr>
          <w:rFonts w:hint="eastAsia"/>
          <w:highlight w:val="none"/>
        </w:rPr>
      </w:pPr>
      <w:r>
        <w:rPr>
          <w:rFonts w:hint="eastAsia"/>
          <w:highlight w:val="none"/>
        </w:rPr>
        <w:t>13.1 递交截止时间：详见竞争性磋商公告，逾期递交或响应文件不符合采购规定，则被拒绝；</w:t>
      </w:r>
    </w:p>
    <w:p w14:paraId="17A3A208">
      <w:pPr>
        <w:spacing w:line="360" w:lineRule="auto"/>
        <w:ind w:firstLine="480" w:firstLineChars="200"/>
        <w:rPr>
          <w:rFonts w:hint="eastAsia"/>
          <w:highlight w:val="none"/>
        </w:rPr>
      </w:pPr>
      <w:r>
        <w:rPr>
          <w:rFonts w:hint="eastAsia"/>
          <w:highlight w:val="none"/>
        </w:rPr>
        <w:t>13.2 递交地点：详见竞争性磋商公告</w:t>
      </w:r>
    </w:p>
    <w:p w14:paraId="7B8BD85B">
      <w:pPr>
        <w:pStyle w:val="4"/>
        <w:spacing w:line="360" w:lineRule="auto"/>
        <w:ind w:firstLine="0"/>
        <w:rPr>
          <w:rFonts w:hint="eastAsia"/>
          <w:bCs/>
          <w:szCs w:val="24"/>
          <w:highlight w:val="none"/>
        </w:rPr>
      </w:pPr>
      <w:bookmarkStart w:id="64" w:name="_Toc72335513"/>
      <w:bookmarkStart w:id="65" w:name="_Toc457851999"/>
      <w:r>
        <w:rPr>
          <w:rFonts w:hint="eastAsia"/>
          <w:bCs/>
          <w:szCs w:val="24"/>
          <w:highlight w:val="none"/>
        </w:rPr>
        <w:t>14、响应文件的修改和撤回</w:t>
      </w:r>
      <w:bookmarkEnd w:id="64"/>
      <w:bookmarkEnd w:id="65"/>
    </w:p>
    <w:p w14:paraId="3EF817E4">
      <w:pPr>
        <w:spacing w:line="360" w:lineRule="auto"/>
        <w:ind w:firstLine="480" w:firstLineChars="200"/>
        <w:rPr>
          <w:rFonts w:hint="eastAsia"/>
          <w:highlight w:val="none"/>
        </w:rPr>
      </w:pPr>
      <w:r>
        <w:rPr>
          <w:rFonts w:hint="eastAsia"/>
          <w:highlight w:val="none"/>
        </w:rPr>
        <w:t>14.1报价人在递交响应文件后，可以修改其响应文件，但报价人必须在规定的响应文件递交截止时间之前将修改的响应文件递交给采购单位。</w:t>
      </w:r>
    </w:p>
    <w:p w14:paraId="4EB950FB">
      <w:pPr>
        <w:spacing w:line="360" w:lineRule="auto"/>
        <w:ind w:firstLine="480" w:firstLineChars="200"/>
        <w:rPr>
          <w:rFonts w:hint="eastAsia"/>
          <w:highlight w:val="none"/>
        </w:rPr>
      </w:pPr>
      <w:r>
        <w:rPr>
          <w:rFonts w:hint="eastAsia"/>
          <w:highlight w:val="none"/>
        </w:rPr>
        <w:t>14.2报价人在递交响应文件后，可以撤回其报价，但报价人必须在响应文件递交截止时间之前以书面形式告知采购单位。</w:t>
      </w:r>
    </w:p>
    <w:p w14:paraId="36648E24">
      <w:pPr>
        <w:spacing w:line="360" w:lineRule="auto"/>
        <w:ind w:firstLine="480" w:firstLineChars="200"/>
        <w:rPr>
          <w:rFonts w:hint="eastAsia"/>
          <w:highlight w:val="none"/>
        </w:rPr>
      </w:pPr>
      <w:r>
        <w:rPr>
          <w:rFonts w:hint="eastAsia"/>
          <w:highlight w:val="none"/>
        </w:rPr>
        <w:t>14.3从响应文件递交截止时间至报价有效期这段时间内，报价人不得撤回其响应文件。</w:t>
      </w:r>
    </w:p>
    <w:p w14:paraId="4AADD691">
      <w:pPr>
        <w:spacing w:line="360" w:lineRule="auto"/>
        <w:ind w:firstLine="480" w:firstLineChars="200"/>
        <w:rPr>
          <w:rFonts w:hint="eastAsia"/>
          <w:highlight w:val="none"/>
        </w:rPr>
      </w:pPr>
      <w:r>
        <w:rPr>
          <w:highlight w:val="none"/>
        </w:rPr>
        <w:t xml:space="preserve">14.4 </w:t>
      </w:r>
      <w:r>
        <w:rPr>
          <w:rFonts w:hint="eastAsia"/>
          <w:highlight w:val="none"/>
        </w:rPr>
        <w:t>因磋商小组实质性变动了采购需求，已提交响应文件的供应商，在提交最后报价之前，可以根据磋商情况退出磋商。</w:t>
      </w:r>
    </w:p>
    <w:p w14:paraId="0A0D4A34">
      <w:pPr>
        <w:pStyle w:val="3"/>
        <w:spacing w:before="468" w:beforeLines="150" w:after="312" w:afterLines="100" w:line="360" w:lineRule="auto"/>
        <w:jc w:val="both"/>
        <w:rPr>
          <w:rFonts w:hint="eastAsia" w:ascii="宋体" w:hAnsi="宋体"/>
          <w:sz w:val="28"/>
          <w:szCs w:val="28"/>
          <w:highlight w:val="none"/>
        </w:rPr>
      </w:pPr>
      <w:bookmarkStart w:id="66" w:name="_Toc8"/>
      <w:bookmarkStart w:id="67" w:name="_Toc72335514"/>
      <w:bookmarkStart w:id="68" w:name="_Toc415478488"/>
      <w:bookmarkStart w:id="69" w:name="_Toc457852000"/>
      <w:r>
        <w:rPr>
          <w:rFonts w:hint="eastAsia" w:ascii="宋体" w:hAnsi="宋体"/>
          <w:sz w:val="28"/>
          <w:szCs w:val="28"/>
          <w:highlight w:val="none"/>
        </w:rPr>
        <w:t>五、组织竞争性磋商程序</w:t>
      </w:r>
      <w:bookmarkEnd w:id="66"/>
    </w:p>
    <w:p w14:paraId="3AE451FB">
      <w:pPr>
        <w:pStyle w:val="4"/>
        <w:spacing w:line="360" w:lineRule="auto"/>
        <w:ind w:firstLine="0"/>
        <w:rPr>
          <w:rFonts w:hint="eastAsia"/>
          <w:bCs/>
          <w:szCs w:val="24"/>
          <w:highlight w:val="none"/>
        </w:rPr>
      </w:pPr>
      <w:r>
        <w:rPr>
          <w:bCs/>
          <w:szCs w:val="24"/>
          <w:highlight w:val="none"/>
        </w:rPr>
        <w:t>15.</w:t>
      </w:r>
      <w:r>
        <w:rPr>
          <w:rFonts w:hint="eastAsia"/>
          <w:bCs/>
          <w:szCs w:val="24"/>
          <w:highlight w:val="none"/>
        </w:rPr>
        <w:t>组建磋商小组</w:t>
      </w:r>
    </w:p>
    <w:p w14:paraId="6429E0A6">
      <w:pPr>
        <w:spacing w:line="360" w:lineRule="auto"/>
        <w:ind w:firstLine="480" w:firstLineChars="200"/>
        <w:rPr>
          <w:rFonts w:hint="eastAsia"/>
          <w:highlight w:val="none"/>
        </w:rPr>
      </w:pPr>
      <w:r>
        <w:rPr>
          <w:rFonts w:hint="eastAsia"/>
          <w:highlight w:val="none"/>
        </w:rPr>
        <w:t>磋商小组由采购人依法组建。竞争性磋商小组由采购人代表和评审专家共</w:t>
      </w:r>
      <w:r>
        <w:rPr>
          <w:highlight w:val="none"/>
        </w:rPr>
        <w:t>3</w:t>
      </w:r>
      <w:r>
        <w:rPr>
          <w:rFonts w:hint="eastAsia"/>
          <w:highlight w:val="none"/>
        </w:rPr>
        <w:t>人以上单数组成，其中评审专家人数不得少于竞争性磋商小组成员总数的</w:t>
      </w:r>
      <w:r>
        <w:rPr>
          <w:highlight w:val="none"/>
        </w:rPr>
        <w:t>2/3</w:t>
      </w:r>
      <w:r>
        <w:rPr>
          <w:rFonts w:hint="eastAsia"/>
          <w:highlight w:val="none"/>
        </w:rPr>
        <w:t>。采购人不得以评审专家身份参加本部门或本单位采购项目的评审。</w:t>
      </w:r>
    </w:p>
    <w:p w14:paraId="359C31AC">
      <w:pPr>
        <w:spacing w:line="360" w:lineRule="auto"/>
        <w:ind w:firstLine="480" w:firstLineChars="200"/>
        <w:rPr>
          <w:rFonts w:hint="eastAsia"/>
          <w:highlight w:val="none"/>
        </w:rPr>
      </w:pPr>
      <w:r>
        <w:rPr>
          <w:rFonts w:hint="eastAsia"/>
          <w:highlight w:val="none"/>
        </w:rPr>
        <w:t>达到公开招标数额标准的货物或者服务采购项目，磋商小组成员应当由</w:t>
      </w:r>
      <w:r>
        <w:rPr>
          <w:highlight w:val="none"/>
        </w:rPr>
        <w:t>5</w:t>
      </w:r>
      <w:r>
        <w:rPr>
          <w:rFonts w:hint="eastAsia"/>
          <w:highlight w:val="none"/>
        </w:rPr>
        <w:t>人（含）以上单数组成。</w:t>
      </w:r>
    </w:p>
    <w:p w14:paraId="442A6681">
      <w:pPr>
        <w:pStyle w:val="4"/>
        <w:spacing w:line="360" w:lineRule="auto"/>
        <w:ind w:firstLine="0"/>
        <w:rPr>
          <w:rFonts w:hint="eastAsia"/>
          <w:bCs/>
          <w:highlight w:val="none"/>
        </w:rPr>
      </w:pPr>
      <w:r>
        <w:rPr>
          <w:bCs/>
          <w:szCs w:val="24"/>
          <w:highlight w:val="none"/>
        </w:rPr>
        <w:t>16.</w:t>
      </w:r>
      <w:r>
        <w:rPr>
          <w:rFonts w:hint="eastAsia"/>
          <w:bCs/>
          <w:szCs w:val="24"/>
          <w:highlight w:val="none"/>
        </w:rPr>
        <w:t>组织磋商程序</w:t>
      </w:r>
    </w:p>
    <w:p w14:paraId="29AB4698">
      <w:pPr>
        <w:spacing w:line="360" w:lineRule="auto"/>
        <w:ind w:firstLine="480" w:firstLineChars="200"/>
        <w:rPr>
          <w:rFonts w:hint="eastAsia"/>
          <w:highlight w:val="none"/>
        </w:rPr>
      </w:pPr>
      <w:r>
        <w:rPr>
          <w:highlight w:val="none"/>
        </w:rPr>
        <w:t>16.1</w:t>
      </w:r>
      <w:r>
        <w:rPr>
          <w:rFonts w:hint="eastAsia"/>
          <w:highlight w:val="none"/>
        </w:rPr>
        <w:t>上海科瑞真诚建设项目管理有限公司将按照竞争性磋商文件规定的时间、地点和程序组织磋商，各磋商专家及相关人员应参加磋商活动并接受核验、签到，无关人员不得进入磋商现场。</w:t>
      </w:r>
    </w:p>
    <w:p w14:paraId="2AC005FE">
      <w:pPr>
        <w:spacing w:line="360" w:lineRule="auto"/>
        <w:ind w:firstLine="480" w:firstLineChars="200"/>
        <w:rPr>
          <w:rFonts w:hint="eastAsia"/>
          <w:highlight w:val="none"/>
        </w:rPr>
      </w:pPr>
      <w:r>
        <w:rPr>
          <w:highlight w:val="none"/>
        </w:rPr>
        <w:t>16.2</w:t>
      </w:r>
      <w:r>
        <w:rPr>
          <w:rFonts w:hint="eastAsia"/>
          <w:highlight w:val="none"/>
        </w:rPr>
        <w:t>核验出席磋商活动现场的磋商小组各成员和相关监督人员身份，并要求其分别登记、签到，按规定统一收缴、保存其通讯工具，无关人员一律拒绝其进入磋商现场。</w:t>
      </w:r>
    </w:p>
    <w:p w14:paraId="23B2B3C6">
      <w:pPr>
        <w:spacing w:line="360" w:lineRule="auto"/>
        <w:ind w:firstLine="480" w:firstLineChars="200"/>
        <w:rPr>
          <w:rFonts w:hint="eastAsia"/>
          <w:highlight w:val="none"/>
        </w:rPr>
      </w:pPr>
      <w:r>
        <w:rPr>
          <w:highlight w:val="none"/>
        </w:rPr>
        <w:t>16.3</w:t>
      </w:r>
      <w:r>
        <w:rPr>
          <w:rFonts w:hint="eastAsia"/>
          <w:highlight w:val="none"/>
        </w:rPr>
        <w:t>介绍磋商现场的人员情况，宣布磋商工作纪律，告知磋商人员应当回避情形；组织推选磋商小组组长。</w:t>
      </w:r>
    </w:p>
    <w:p w14:paraId="19A765E2">
      <w:pPr>
        <w:spacing w:line="360" w:lineRule="auto"/>
        <w:ind w:firstLine="480" w:firstLineChars="200"/>
        <w:rPr>
          <w:rFonts w:hint="eastAsia"/>
          <w:highlight w:val="none"/>
        </w:rPr>
      </w:pPr>
      <w:r>
        <w:rPr>
          <w:highlight w:val="none"/>
        </w:rPr>
        <w:t>16.4</w:t>
      </w:r>
      <w:r>
        <w:rPr>
          <w:rFonts w:hint="eastAsia"/>
          <w:highlight w:val="none"/>
        </w:rPr>
        <w:t>宣读提交竞争性磋商响应文件的供应商名单，组织磋商小组各位成员签订《政府采购评审人员廉洁自律承诺书》。</w:t>
      </w:r>
    </w:p>
    <w:p w14:paraId="45FC565C">
      <w:pPr>
        <w:spacing w:line="360" w:lineRule="auto"/>
        <w:ind w:firstLine="480" w:firstLineChars="200"/>
        <w:rPr>
          <w:rFonts w:hint="eastAsia"/>
          <w:highlight w:val="none"/>
        </w:rPr>
      </w:pPr>
      <w:r>
        <w:rPr>
          <w:highlight w:val="none"/>
        </w:rPr>
        <w:t>16.5</w:t>
      </w:r>
      <w:r>
        <w:rPr>
          <w:rFonts w:hint="eastAsia"/>
          <w:highlight w:val="none"/>
        </w:rPr>
        <w:t>根据需要简要介绍竞争性磋商文件（含补充文件）制定及质疑答复情况、按书面陈述项目基本情况及磋商工作需注意事项等，让磋商专家尽快知悉和了解所磋商项目的采购需求、评审依据、评审标准、工作程序等；提醒磋商小组对磋商项目应确定磋商方法和轮次，对客观评审项目应统一评审依据和评审标准，对主观评审项目应确定大致的评审要求和评审尺度，对磋商小组提出的有关磋商文件、磋商响应文件的问题进行必要的说明、解释或讨论。</w:t>
      </w:r>
    </w:p>
    <w:p w14:paraId="7C89D74B">
      <w:pPr>
        <w:spacing w:line="360" w:lineRule="auto"/>
        <w:ind w:firstLine="480" w:firstLineChars="200"/>
        <w:rPr>
          <w:rFonts w:hint="eastAsia"/>
          <w:highlight w:val="none"/>
        </w:rPr>
      </w:pPr>
      <w:r>
        <w:rPr>
          <w:highlight w:val="none"/>
        </w:rPr>
        <w:t>16.6</w:t>
      </w:r>
      <w:r>
        <w:rPr>
          <w:rFonts w:hint="eastAsia"/>
          <w:highlight w:val="none"/>
        </w:rPr>
        <w:t>磋商小组组长组织磋商人员独立评审。磋商小组对拟认定为响应文件无效、供应商资格不符合的，应组织相关供应商代表进行陈述、澄清或申辩；上海科瑞真诚建设项目管理有限公司可协助磋商小组组长对打分结果进行校对、核对并汇总统计；对明显畸高、畸低的评分（其总评分偏离平均分</w:t>
      </w:r>
      <w:r>
        <w:rPr>
          <w:highlight w:val="none"/>
        </w:rPr>
        <w:t xml:space="preserve"> 30%</w:t>
      </w:r>
      <w:r>
        <w:rPr>
          <w:rFonts w:hint="eastAsia"/>
          <w:highlight w:val="none"/>
        </w:rPr>
        <w:t>以上的），磋商小组组长应提醒相关磋商专家进行复核或书面说明理由，磋商专家拒绝说明的，由现场监督员据实记录；磋商专家的磋商、修改记录应保留原件，随项目其他资料一并存档。</w:t>
      </w:r>
    </w:p>
    <w:p w14:paraId="4F154A36">
      <w:pPr>
        <w:spacing w:line="360" w:lineRule="auto"/>
        <w:ind w:firstLine="480" w:firstLineChars="200"/>
        <w:rPr>
          <w:rFonts w:hint="eastAsia"/>
          <w:highlight w:val="none"/>
        </w:rPr>
      </w:pPr>
      <w:r>
        <w:rPr>
          <w:highlight w:val="none"/>
        </w:rPr>
        <w:t>16.7</w:t>
      </w:r>
      <w:r>
        <w:rPr>
          <w:rFonts w:hint="eastAsia"/>
          <w:highlight w:val="none"/>
        </w:rPr>
        <w:t>做好磋商现场相关记录，协助磋商小组组长做好评审报告起草、有关内容电脑文字录入等工作，并要求磋商小组各成员签字确认。</w:t>
      </w:r>
    </w:p>
    <w:p w14:paraId="7ECCDE18">
      <w:pPr>
        <w:spacing w:line="360" w:lineRule="auto"/>
        <w:ind w:firstLine="480" w:firstLineChars="200"/>
        <w:rPr>
          <w:rFonts w:hint="eastAsia"/>
          <w:highlight w:val="none"/>
        </w:rPr>
      </w:pPr>
      <w:r>
        <w:rPr>
          <w:highlight w:val="none"/>
        </w:rPr>
        <w:t>16.8</w:t>
      </w:r>
      <w:r>
        <w:rPr>
          <w:rFonts w:hint="eastAsia"/>
          <w:highlight w:val="none"/>
        </w:rPr>
        <w:t>磋商结束后，上海科瑞真诚建设项目管理有限公司按规定向磋商专家发放评审费，并交还磋商小组及其他现场相关人员的通讯工具。</w:t>
      </w:r>
    </w:p>
    <w:p w14:paraId="14712ED1">
      <w:pPr>
        <w:pStyle w:val="4"/>
        <w:spacing w:line="360" w:lineRule="auto"/>
        <w:ind w:firstLine="0"/>
        <w:rPr>
          <w:rFonts w:hint="eastAsia"/>
          <w:bCs/>
          <w:szCs w:val="24"/>
          <w:highlight w:val="none"/>
        </w:rPr>
      </w:pPr>
      <w:r>
        <w:rPr>
          <w:bCs/>
          <w:szCs w:val="24"/>
          <w:highlight w:val="none"/>
        </w:rPr>
        <w:t>17.</w:t>
      </w:r>
      <w:r>
        <w:rPr>
          <w:rFonts w:hint="eastAsia"/>
          <w:bCs/>
          <w:szCs w:val="24"/>
          <w:highlight w:val="none"/>
        </w:rPr>
        <w:t>磋商小组磋商程序</w:t>
      </w:r>
    </w:p>
    <w:p w14:paraId="551DB136">
      <w:pPr>
        <w:spacing w:line="360" w:lineRule="auto"/>
        <w:ind w:firstLine="480" w:firstLineChars="200"/>
        <w:rPr>
          <w:rFonts w:hint="eastAsia"/>
          <w:highlight w:val="none"/>
        </w:rPr>
      </w:pPr>
      <w:r>
        <w:rPr>
          <w:highlight w:val="none"/>
        </w:rPr>
        <w:t>17.1</w:t>
      </w:r>
      <w:r>
        <w:rPr>
          <w:rFonts w:hint="eastAsia"/>
          <w:highlight w:val="none"/>
        </w:rPr>
        <w:t>在磋商专家中推选磋商小组组长。</w:t>
      </w:r>
    </w:p>
    <w:p w14:paraId="6F2441AD">
      <w:pPr>
        <w:spacing w:line="360" w:lineRule="auto"/>
        <w:ind w:firstLine="480" w:firstLineChars="200"/>
        <w:rPr>
          <w:rFonts w:hint="eastAsia"/>
          <w:highlight w:val="none"/>
        </w:rPr>
      </w:pPr>
      <w:r>
        <w:rPr>
          <w:highlight w:val="none"/>
        </w:rPr>
        <w:t>17.2</w:t>
      </w:r>
      <w:r>
        <w:rPr>
          <w:rFonts w:hint="eastAsia"/>
          <w:highlight w:val="none"/>
        </w:rPr>
        <w:t>磋商小组组长召集成员认真阅读竞争性磋商文件以及相关补充、质疑、答复文件、项目书面说明等材料，熟悉采购项目的基本概况，采购项目的质量要求、数量、主要技术标准或服务需求，采购合同主要条款，竞争性磋商响应文件无效情形、评审依据、评审标准等。</w:t>
      </w:r>
    </w:p>
    <w:p w14:paraId="5CF87A9D">
      <w:pPr>
        <w:spacing w:line="360" w:lineRule="auto"/>
        <w:ind w:firstLine="480" w:firstLineChars="200"/>
        <w:rPr>
          <w:rFonts w:hint="eastAsia"/>
          <w:highlight w:val="none"/>
        </w:rPr>
      </w:pPr>
      <w:r>
        <w:rPr>
          <w:highlight w:val="none"/>
        </w:rPr>
        <w:t>17.3 磋商小组组长召集成员讨论</w:t>
      </w:r>
      <w:r>
        <w:rPr>
          <w:rFonts w:hint="eastAsia"/>
          <w:highlight w:val="none"/>
        </w:rPr>
        <w:t>确定磋商方法和磋商轮次，按标项与各磋商响应方就项目技术需求、服务、价格构成、供货、付款方式等要素按供应商签到顺序依次分别进行磋商。</w:t>
      </w:r>
    </w:p>
    <w:p w14:paraId="4384C11C">
      <w:pPr>
        <w:spacing w:line="360" w:lineRule="auto"/>
        <w:ind w:firstLine="480" w:firstLineChars="200"/>
        <w:rPr>
          <w:rFonts w:hint="eastAsia"/>
          <w:highlight w:val="none"/>
        </w:rPr>
      </w:pPr>
      <w:r>
        <w:rPr>
          <w:highlight w:val="none"/>
        </w:rPr>
        <w:t xml:space="preserve">17.4 </w:t>
      </w:r>
      <w:r>
        <w:rPr>
          <w:rFonts w:hint="eastAsia"/>
          <w:highlight w:val="none"/>
        </w:rPr>
        <w:t>磋商小组对各供应商竞争性磋商响应文件的有效性、完整性和响应程度进行审查，确定是否对竞争性磋商文件作出实质性响应审查结束后，从符合相应条件的供应商名单中确定不少于</w:t>
      </w:r>
      <w:r>
        <w:rPr>
          <w:highlight w:val="none"/>
        </w:rPr>
        <w:t xml:space="preserve"> 3 </w:t>
      </w:r>
      <w:r>
        <w:rPr>
          <w:rFonts w:hint="eastAsia"/>
          <w:highlight w:val="none"/>
        </w:rPr>
        <w:t>家的供应商参加磋商【市场竞争不充分的科研项目，以及需要扶持的科技成果转化项目和政府购买服务项目（含政府和社会资本合作项目）不少于</w:t>
      </w:r>
      <w:r>
        <w:rPr>
          <w:highlight w:val="none"/>
        </w:rPr>
        <w:t>2</w:t>
      </w:r>
      <w:r>
        <w:rPr>
          <w:rFonts w:hint="eastAsia"/>
          <w:highlight w:val="none"/>
        </w:rPr>
        <w:t>家】。</w:t>
      </w:r>
    </w:p>
    <w:p w14:paraId="56F13479">
      <w:pPr>
        <w:spacing w:line="360" w:lineRule="auto"/>
        <w:ind w:firstLine="480" w:firstLineChars="200"/>
        <w:rPr>
          <w:rFonts w:hint="eastAsia"/>
          <w:highlight w:val="none"/>
        </w:rPr>
      </w:pPr>
      <w:r>
        <w:rPr>
          <w:highlight w:val="none"/>
        </w:rPr>
        <w:t>17.5</w:t>
      </w:r>
      <w:r>
        <w:rPr>
          <w:rFonts w:hint="eastAsia"/>
          <w:highlight w:val="none"/>
        </w:rPr>
        <w:t>磋商小组对各供应商竞争性磋商响应文件非实质性内容有疑议或异议，或者审查发现明显的文字或计算错误等，及时向磋商小组组长提出。经磋商小组商议认为需要供应商作出必要澄清或说明的，应通知该供应商以书面形式作出澄清或说明。书面通知及澄清说明文件应作为政府采购项目档案归档留存。</w:t>
      </w:r>
    </w:p>
    <w:p w14:paraId="7E76F5F9">
      <w:pPr>
        <w:spacing w:line="360" w:lineRule="auto"/>
        <w:ind w:firstLine="480" w:firstLineChars="200"/>
        <w:rPr>
          <w:rFonts w:hint="eastAsia"/>
          <w:highlight w:val="none"/>
        </w:rPr>
      </w:pPr>
      <w:r>
        <w:rPr>
          <w:highlight w:val="none"/>
        </w:rPr>
        <w:t>17.6</w:t>
      </w:r>
      <w:r>
        <w:rPr>
          <w:rFonts w:hint="eastAsia"/>
          <w:highlight w:val="none"/>
        </w:rPr>
        <w:t>经磋商确定最终采购需求和实质性响应的供应商后，磋商小组要求各磋商响应方在规定时间内提交书面最终报价，并对最终报价的合理性进行审核。</w:t>
      </w:r>
    </w:p>
    <w:p w14:paraId="34C74080">
      <w:pPr>
        <w:spacing w:line="360" w:lineRule="auto"/>
        <w:ind w:firstLine="480" w:firstLineChars="200"/>
        <w:rPr>
          <w:rFonts w:hint="eastAsia"/>
          <w:highlight w:val="none"/>
        </w:rPr>
      </w:pPr>
      <w:r>
        <w:rPr>
          <w:highlight w:val="none"/>
        </w:rPr>
        <w:t>17.7</w:t>
      </w:r>
      <w:r>
        <w:rPr>
          <w:rFonts w:hint="eastAsia"/>
          <w:highlight w:val="none"/>
        </w:rPr>
        <w:t>磋商小组根据第四部分《</w:t>
      </w:r>
      <w:r>
        <w:rPr>
          <w:highlight w:val="none"/>
        </w:rPr>
        <w:t>磋商程序和评审方法、标准</w:t>
      </w:r>
      <w:r>
        <w:rPr>
          <w:rFonts w:hint="eastAsia"/>
          <w:highlight w:val="none"/>
        </w:rPr>
        <w:t>》对提交最终报价的供应商的响应文件和最后报价进行综合评分。</w:t>
      </w:r>
    </w:p>
    <w:p w14:paraId="5B024FD5">
      <w:pPr>
        <w:spacing w:line="360" w:lineRule="auto"/>
        <w:ind w:firstLine="480" w:firstLineChars="200"/>
        <w:rPr>
          <w:rFonts w:hint="eastAsia"/>
          <w:highlight w:val="none"/>
        </w:rPr>
      </w:pPr>
      <w:r>
        <w:rPr>
          <w:highlight w:val="none"/>
        </w:rPr>
        <w:t>17.8</w:t>
      </w:r>
      <w:r>
        <w:rPr>
          <w:rFonts w:hint="eastAsia"/>
          <w:highlight w:val="none"/>
        </w:rPr>
        <w:t>根据竞争性磋商文件规定，磋商小组推荐成交候选供应商排序名单。采购人、经其书面授权的采购人代表或经其书面授权的磋商小组按成交候选供应商排名顺序对供应商逐一进行资格审查，直至依法产生合格的成交供应商。</w:t>
      </w:r>
    </w:p>
    <w:p w14:paraId="02BD7659">
      <w:pPr>
        <w:spacing w:line="360" w:lineRule="auto"/>
        <w:ind w:firstLine="480" w:firstLineChars="200"/>
        <w:rPr>
          <w:rFonts w:hint="eastAsia"/>
          <w:highlight w:val="none"/>
        </w:rPr>
      </w:pPr>
      <w:r>
        <w:rPr>
          <w:highlight w:val="none"/>
        </w:rPr>
        <w:t>17.9</w:t>
      </w:r>
      <w:r>
        <w:rPr>
          <w:rFonts w:hint="eastAsia"/>
          <w:highlight w:val="none"/>
        </w:rPr>
        <w:t>起草评审报告，所有磋商专家须在评审报告上签字确认。</w:t>
      </w:r>
    </w:p>
    <w:p w14:paraId="3971F140">
      <w:pPr>
        <w:pStyle w:val="4"/>
        <w:spacing w:line="360" w:lineRule="auto"/>
        <w:ind w:firstLine="0"/>
        <w:rPr>
          <w:rFonts w:hint="eastAsia"/>
          <w:bCs/>
          <w:szCs w:val="24"/>
          <w:highlight w:val="none"/>
        </w:rPr>
      </w:pPr>
      <w:r>
        <w:rPr>
          <w:bCs/>
          <w:szCs w:val="24"/>
          <w:highlight w:val="none"/>
        </w:rPr>
        <w:t>18.</w:t>
      </w:r>
      <w:r>
        <w:rPr>
          <w:rFonts w:hint="eastAsia"/>
          <w:bCs/>
          <w:szCs w:val="24"/>
          <w:highlight w:val="none"/>
        </w:rPr>
        <w:t>磋商原则</w:t>
      </w:r>
    </w:p>
    <w:p w14:paraId="6340F194">
      <w:pPr>
        <w:spacing w:line="360" w:lineRule="auto"/>
        <w:ind w:firstLine="480" w:firstLineChars="200"/>
        <w:rPr>
          <w:rFonts w:hint="eastAsia"/>
          <w:highlight w:val="none"/>
        </w:rPr>
      </w:pPr>
      <w:r>
        <w:rPr>
          <w:highlight w:val="none"/>
        </w:rPr>
        <w:t>18.1 磋商小组必须公平、公正、客观，不带任何倾向性和启发性；不得向外界透露任何与磋商有关的内容；任何单位和个人不得干扰影响磋商的正常进行；磋商小组及有关工作人员不得私下与磋商响应方接触。</w:t>
      </w:r>
    </w:p>
    <w:p w14:paraId="4D8096A1">
      <w:pPr>
        <w:spacing w:line="360" w:lineRule="auto"/>
        <w:ind w:firstLine="480" w:firstLineChars="200"/>
        <w:rPr>
          <w:rFonts w:hint="eastAsia"/>
          <w:highlight w:val="none"/>
        </w:rPr>
      </w:pPr>
      <w:r>
        <w:rPr>
          <w:highlight w:val="none"/>
        </w:rPr>
        <w:t>18.2 磋商小组专家因回避、临时缺席或健康原因等特殊情况不能继续参加磋商工作的，应按规定更换磋商专家,</w:t>
      </w:r>
      <w:r>
        <w:rPr>
          <w:rFonts w:hint="eastAsia"/>
          <w:highlight w:val="none"/>
        </w:rPr>
        <w:t>被更换的磋商专家之前所作出的磋商意见不再予以采纳，由更换后的磋商小组专家重新进行磋商。无法及时更换专家的，要立即停止磋商工作、封存磋商资料，并告知供应商重新磋商的时间和地点。</w:t>
      </w:r>
    </w:p>
    <w:p w14:paraId="591F6C7D">
      <w:pPr>
        <w:spacing w:line="360" w:lineRule="auto"/>
        <w:ind w:firstLine="480" w:firstLineChars="200"/>
        <w:rPr>
          <w:rFonts w:hint="eastAsia"/>
          <w:highlight w:val="none"/>
        </w:rPr>
      </w:pPr>
      <w:r>
        <w:rPr>
          <w:highlight w:val="none"/>
        </w:rPr>
        <w:t>18.3 磋商小组专家对有关磋商文件、磋商响应文件、样品、现场演示（如有）的说明、解释、要求、标准存在不同意见的，持不同意见的磋商专家及其意见或理由应予以完整记录，并在磋商过程中按照少数服从多数的原则表决执行。对磋商文件本身不明确或存在歧义、矛盾的内容，应作对供应商而非采购人有利的解释。磋商专家拒绝在磋商报告中签字又不说明其不同意见或理由的，由现场监督员记录在案后，可视为</w:t>
      </w:r>
      <w:r>
        <w:rPr>
          <w:rFonts w:hint="eastAsia"/>
          <w:highlight w:val="none"/>
        </w:rPr>
        <w:t>同意磋商结果。</w:t>
      </w:r>
    </w:p>
    <w:p w14:paraId="2591D49F">
      <w:pPr>
        <w:spacing w:line="360" w:lineRule="auto"/>
        <w:ind w:firstLine="480"/>
        <w:rPr>
          <w:rFonts w:hint="eastAsia"/>
          <w:highlight w:val="none"/>
        </w:rPr>
      </w:pPr>
      <w:r>
        <w:rPr>
          <w:rFonts w:hint="eastAsia"/>
          <w:highlight w:val="none"/>
        </w:rPr>
        <w:t xml:space="preserve">18.4 </w:t>
      </w:r>
      <w:r>
        <w:rPr>
          <w:highlight w:val="none"/>
        </w:rPr>
        <w:t>供应商存在不良信用记录的，其响应文件将被认定为无效。</w:t>
      </w:r>
    </w:p>
    <w:p w14:paraId="6696B01A">
      <w:pPr>
        <w:spacing w:line="360" w:lineRule="auto"/>
        <w:ind w:firstLine="480"/>
        <w:rPr>
          <w:rFonts w:hint="eastAsia"/>
          <w:highlight w:val="none"/>
        </w:rPr>
      </w:pPr>
      <w:r>
        <w:rPr>
          <w:rFonts w:hint="eastAsia"/>
          <w:highlight w:val="none"/>
        </w:rPr>
        <w:t>18.</w:t>
      </w:r>
      <w:r>
        <w:rPr>
          <w:highlight w:val="none"/>
        </w:rPr>
        <w:t>4.1 查询及使用信用记录</w:t>
      </w:r>
    </w:p>
    <w:p w14:paraId="3DEEB534">
      <w:pPr>
        <w:spacing w:line="360" w:lineRule="auto"/>
        <w:ind w:firstLine="480"/>
        <w:rPr>
          <w:rFonts w:hint="eastAsia"/>
          <w:highlight w:val="none"/>
        </w:rPr>
      </w:pPr>
      <w:r>
        <w:rPr>
          <w:highlight w:val="none"/>
        </w:rPr>
        <w:t>根据《财政部关于在政府采购活动中查询及使用信用记录有关问题的通知》(财库〔2016〕125号)文件规定，采购人及采购代理机构将对供应商在递交响应文件截止时间之前的信用记录进行查询。</w:t>
      </w:r>
    </w:p>
    <w:p w14:paraId="09AA6AFA">
      <w:pPr>
        <w:spacing w:line="360" w:lineRule="auto"/>
        <w:ind w:firstLine="480"/>
        <w:rPr>
          <w:rFonts w:hint="eastAsia"/>
          <w:highlight w:val="none"/>
        </w:rPr>
      </w:pPr>
      <w:r>
        <w:rPr>
          <w:highlight w:val="none"/>
        </w:rPr>
        <w:t>(1)信用信息查询渠道： 信用中国(www.creditchina.gov.cn)、中国政府采购网(www.ccgp.gov.cn)；</w:t>
      </w:r>
    </w:p>
    <w:p w14:paraId="69D6BF8D">
      <w:pPr>
        <w:spacing w:line="360" w:lineRule="auto"/>
        <w:ind w:firstLine="480"/>
        <w:rPr>
          <w:rFonts w:hint="eastAsia"/>
          <w:highlight w:val="none"/>
        </w:rPr>
      </w:pPr>
      <w:r>
        <w:rPr>
          <w:highlight w:val="none"/>
        </w:rPr>
        <w:t>(2)信用信息查询截止时点：自公告发出之日起至</w:t>
      </w:r>
      <w:r>
        <w:rPr>
          <w:rFonts w:hint="eastAsia"/>
          <w:highlight w:val="none"/>
          <w:lang w:val="en-US" w:eastAsia="zh-CN"/>
        </w:rPr>
        <w:t>磋商评审结束时止</w:t>
      </w:r>
      <w:r>
        <w:rPr>
          <w:highlight w:val="none"/>
        </w:rPr>
        <w:t>；</w:t>
      </w:r>
    </w:p>
    <w:p w14:paraId="6E7F700B">
      <w:pPr>
        <w:spacing w:line="360" w:lineRule="auto"/>
        <w:ind w:firstLine="480"/>
        <w:rPr>
          <w:rFonts w:hint="eastAsia"/>
          <w:highlight w:val="none"/>
        </w:rPr>
      </w:pPr>
      <w:r>
        <w:rPr>
          <w:highlight w:val="none"/>
        </w:rPr>
        <w:t>(3)信用信息查询记录和证据留存的具体方式：截屏、查询网页页面打印等可实现留存的方式；</w:t>
      </w:r>
    </w:p>
    <w:p w14:paraId="29FA3E73">
      <w:pPr>
        <w:spacing w:line="360" w:lineRule="auto"/>
        <w:ind w:firstLine="480"/>
        <w:rPr>
          <w:rFonts w:hint="eastAsia"/>
          <w:highlight w:val="none"/>
        </w:rPr>
      </w:pPr>
      <w:r>
        <w:rPr>
          <w:highlight w:val="none"/>
        </w:rPr>
        <w:t>(4)信用信息的使用规则：对列入失信被执行人、重大税收违法案件当事人名单、政府采购严重违法失信行为记录名单及其他不符合《中华人民共和国政府采购法》第二十二条规定条件的供应商，应当拒绝其参与政府采购活动；</w:t>
      </w:r>
    </w:p>
    <w:p w14:paraId="003A7D59">
      <w:pPr>
        <w:spacing w:line="360" w:lineRule="auto"/>
        <w:ind w:firstLine="480"/>
        <w:rPr>
          <w:rFonts w:hint="eastAsia"/>
          <w:highlight w:val="none"/>
        </w:rPr>
      </w:pPr>
      <w:r>
        <w:rPr>
          <w:highlight w:val="none"/>
        </w:rPr>
        <w:t>(5)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EE78251">
      <w:pPr>
        <w:spacing w:line="360" w:lineRule="auto"/>
        <w:ind w:firstLine="480"/>
        <w:rPr>
          <w:rFonts w:hint="eastAsia"/>
          <w:highlight w:val="none"/>
        </w:rPr>
      </w:pPr>
      <w:r>
        <w:rPr>
          <w:highlight w:val="none"/>
        </w:rPr>
        <w:t>(6)供应商信用记录情况以查询结果为准。供应商自行提供的与网站信息不一致的其他证明材料亦不作为资格审查的依据。在本采购文件规定的查询时间之后，网站信息发生的任何变更均不再作为评审依据。</w:t>
      </w:r>
    </w:p>
    <w:p w14:paraId="727F4619">
      <w:pPr>
        <w:spacing w:line="360" w:lineRule="auto"/>
        <w:ind w:firstLine="480"/>
        <w:rPr>
          <w:rFonts w:hint="eastAsia"/>
          <w:highlight w:val="none"/>
        </w:rPr>
      </w:pPr>
      <w:r>
        <w:rPr>
          <w:rFonts w:hint="eastAsia"/>
          <w:highlight w:val="none"/>
        </w:rPr>
        <w:t>18.</w:t>
      </w:r>
      <w:r>
        <w:rPr>
          <w:highlight w:val="none"/>
        </w:rPr>
        <w:t>4.2 重大违法记录</w:t>
      </w:r>
    </w:p>
    <w:p w14:paraId="17B13228">
      <w:pPr>
        <w:spacing w:line="360" w:lineRule="auto"/>
        <w:ind w:firstLine="480"/>
        <w:rPr>
          <w:rFonts w:hint="eastAsia"/>
          <w:highlight w:val="none"/>
        </w:rPr>
      </w:pPr>
      <w:r>
        <w:rPr>
          <w:highlight w:val="none"/>
        </w:rPr>
        <w:t>重大违法记录是指供应商因违法经营受到刑事处罚或者责令停产停业、吊销许可证或者执照、较大数额罚款等行政处罚供应商在参加政府采购活动前3年内因违法经营被禁止在一定期限内参加政府采购活动，期限届满的，可以参加政府采购活动。</w:t>
      </w:r>
    </w:p>
    <w:p w14:paraId="03DDF2CA">
      <w:pPr>
        <w:spacing w:line="360" w:lineRule="auto"/>
        <w:ind w:firstLine="480"/>
        <w:rPr>
          <w:rFonts w:hint="eastAsia"/>
          <w:highlight w:val="none"/>
        </w:rPr>
      </w:pPr>
      <w:r>
        <w:rPr>
          <w:rFonts w:hint="eastAsia"/>
          <w:highlight w:val="none"/>
        </w:rPr>
        <w:t>18.</w:t>
      </w:r>
      <w:r>
        <w:rPr>
          <w:highlight w:val="none"/>
        </w:rPr>
        <w:t>4.3 较大数额罚款是指认定为200万元以上的罚款，法律、行政法规以及国务院有关部门明确规定相关领域“较大数额罚款”标准高于200万元的，从其规定。</w:t>
      </w:r>
    </w:p>
    <w:p w14:paraId="74B7E315">
      <w:pPr>
        <w:spacing w:line="360" w:lineRule="auto"/>
        <w:ind w:firstLine="480" w:firstLineChars="200"/>
        <w:rPr>
          <w:rFonts w:hint="eastAsia"/>
          <w:highlight w:val="none"/>
        </w:rPr>
      </w:pPr>
      <w:r>
        <w:rPr>
          <w:rFonts w:hint="eastAsia"/>
          <w:highlight w:val="none"/>
        </w:rPr>
        <w:t>18.</w:t>
      </w:r>
      <w:r>
        <w:rPr>
          <w:highlight w:val="none"/>
        </w:rPr>
        <w:t>4.4 根据上海市财政局发布的《关于简化政府采购供应商资格审查有关事项的通知》及深化政府采购制度改革精神，供应商参加政府采购活动应当提交反映其财务状况、缴纳税收和社会保障资金情况的书面声明。供应商应当在投标（响应）文件中提交上述声明函，并对声明内容的真实性负责。</w:t>
      </w:r>
    </w:p>
    <w:p w14:paraId="4D8F8335">
      <w:pPr>
        <w:spacing w:line="360" w:lineRule="auto"/>
        <w:ind w:firstLine="480" w:firstLineChars="200"/>
        <w:rPr>
          <w:rFonts w:hint="eastAsia"/>
          <w:highlight w:val="none"/>
        </w:rPr>
      </w:pPr>
      <w:r>
        <w:rPr>
          <w:rFonts w:hint="eastAsia"/>
          <w:highlight w:val="none"/>
        </w:rPr>
        <w:t>18.</w:t>
      </w:r>
      <w:r>
        <w:rPr>
          <w:highlight w:val="none"/>
        </w:rPr>
        <w:t>5</w:t>
      </w:r>
      <w:r>
        <w:rPr>
          <w:rFonts w:hint="eastAsia"/>
          <w:highlight w:val="none"/>
        </w:rPr>
        <w:t xml:space="preserve"> 评审过程中出现下列情形之一的，评审委员会应当启动异常低价投标（响应）审查程序：</w:t>
      </w:r>
    </w:p>
    <w:p w14:paraId="15A9555C">
      <w:pPr>
        <w:spacing w:line="360" w:lineRule="auto"/>
        <w:ind w:firstLine="480" w:firstLineChars="200"/>
        <w:rPr>
          <w:rFonts w:hint="eastAsia"/>
          <w:highlight w:val="none"/>
        </w:rPr>
      </w:pPr>
      <w:r>
        <w:rPr>
          <w:rFonts w:hint="eastAsia"/>
          <w:highlight w:val="none"/>
        </w:rPr>
        <w:t>18.5.1投标（响应）报价低于全部通过符合性审查供应商投标（响应）报价平均值65%的，即投标（响应）报价&lt;全部通过符合性 审查供应商投标（响应）报价平均值×65%；</w:t>
      </w:r>
    </w:p>
    <w:p w14:paraId="1C3C5A61">
      <w:pPr>
        <w:spacing w:line="360" w:lineRule="auto"/>
        <w:ind w:firstLine="480" w:firstLineChars="200"/>
        <w:rPr>
          <w:rFonts w:hint="eastAsia"/>
          <w:highlight w:val="none"/>
        </w:rPr>
      </w:pPr>
      <w:r>
        <w:rPr>
          <w:rFonts w:hint="eastAsia"/>
          <w:highlight w:val="none"/>
        </w:rPr>
        <w:t>18.5.2投标（响应）报价低于通过符合性审查的次低报价供应商投标（响应）报价65%的，即投标（响应）报价&lt;通过符合性审查 的次低报价供应商投标（响应）报价×65%；</w:t>
      </w:r>
    </w:p>
    <w:p w14:paraId="5263F84E">
      <w:pPr>
        <w:spacing w:line="360" w:lineRule="auto"/>
        <w:ind w:firstLine="480" w:firstLineChars="200"/>
        <w:rPr>
          <w:rFonts w:hint="eastAsia"/>
          <w:highlight w:val="none"/>
        </w:rPr>
      </w:pPr>
      <w:r>
        <w:rPr>
          <w:rFonts w:hint="eastAsia"/>
          <w:highlight w:val="none"/>
        </w:rPr>
        <w:t>18.5.3投标（响应）报价低于采购项目最高限价65%的，即投标（响应）报价&lt;采购项目最高限价×65%；</w:t>
      </w:r>
    </w:p>
    <w:p w14:paraId="6039A399">
      <w:pPr>
        <w:spacing w:line="360" w:lineRule="auto"/>
        <w:ind w:firstLine="480" w:firstLineChars="200"/>
        <w:rPr>
          <w:rFonts w:hint="eastAsia"/>
          <w:highlight w:val="none"/>
        </w:rPr>
      </w:pPr>
      <w:r>
        <w:rPr>
          <w:rFonts w:hint="eastAsia"/>
          <w:highlight w:val="none"/>
        </w:rPr>
        <w:t>18.5.4评审委员会基于专业判断，认为供应商报价过低，有可能影响产品质量或者不能诚信履约的其他情形。</w:t>
      </w:r>
    </w:p>
    <w:p w14:paraId="1E460791">
      <w:pPr>
        <w:spacing w:line="360" w:lineRule="auto"/>
        <w:ind w:firstLine="480" w:firstLineChars="200"/>
        <w:rPr>
          <w:rFonts w:hint="eastAsia"/>
          <w:highlight w:val="none"/>
        </w:rPr>
      </w:pPr>
      <w:r>
        <w:rPr>
          <w:rFonts w:hint="eastAsia"/>
          <w:highlight w:val="none"/>
        </w:rPr>
        <w:t>评审委员会启动异常低价投标（响应）审查后，相关供应商在评审现场自接到评标委员会的澄清要求后30分钟内对投标（响应）价格作出解释，并提供项目具体成本测算等与报价合理性相关的书面说明及必要的证明材料，包括但不限于原材料成本、人工成本、制造费用等。</w:t>
      </w:r>
    </w:p>
    <w:p w14:paraId="7F9CF720">
      <w:pPr>
        <w:spacing w:line="360" w:lineRule="auto"/>
        <w:ind w:firstLine="480" w:firstLineChars="200"/>
        <w:rPr>
          <w:rFonts w:hint="eastAsia"/>
          <w:highlight w:val="none"/>
        </w:rPr>
      </w:pPr>
      <w:r>
        <w:rPr>
          <w:rFonts w:hint="eastAsia"/>
          <w:highlight w:val="none"/>
        </w:rPr>
        <w:t>评审委员会依据专业经验，参考同类项目中标（成交）价格、类似产品市场价格水平、行业人工费用标准、国家有关部门指 导行业协会发布的行业平均成本等情况，对报价合理性进行判断。投标（响应）供应商不能提供书面说明、证明材料，或者提供的 书面说明、证明材料不能证明其报价合理性的，评审委员会应当将其作为无效投标（响应）处理。</w:t>
      </w:r>
    </w:p>
    <w:p w14:paraId="43C18255">
      <w:pPr>
        <w:pStyle w:val="4"/>
        <w:spacing w:line="360" w:lineRule="auto"/>
        <w:ind w:firstLine="0"/>
        <w:rPr>
          <w:rFonts w:hint="eastAsia"/>
          <w:bCs/>
          <w:sz w:val="21"/>
          <w:szCs w:val="21"/>
          <w:highlight w:val="none"/>
        </w:rPr>
      </w:pPr>
      <w:r>
        <w:rPr>
          <w:bCs/>
          <w:szCs w:val="24"/>
          <w:highlight w:val="none"/>
        </w:rPr>
        <w:t>19.</w:t>
      </w:r>
      <w:r>
        <w:rPr>
          <w:rFonts w:hint="eastAsia"/>
          <w:bCs/>
          <w:szCs w:val="24"/>
          <w:highlight w:val="none"/>
        </w:rPr>
        <w:t>确定成交供应商的原则</w:t>
      </w:r>
    </w:p>
    <w:p w14:paraId="71B1CC85">
      <w:pPr>
        <w:spacing w:line="360" w:lineRule="auto"/>
        <w:ind w:firstLine="480" w:firstLineChars="200"/>
        <w:rPr>
          <w:rFonts w:hint="eastAsia"/>
          <w:highlight w:val="none"/>
        </w:rPr>
      </w:pPr>
      <w:r>
        <w:rPr>
          <w:highlight w:val="none"/>
        </w:rPr>
        <w:t>19.1 采购结果由采购人确认。采购人未确定成交</w:t>
      </w:r>
      <w:r>
        <w:rPr>
          <w:rFonts w:hint="eastAsia"/>
          <w:highlight w:val="none"/>
        </w:rPr>
        <w:t>供应商且在规定时间内不提出异议的，视为默认。</w:t>
      </w:r>
    </w:p>
    <w:p w14:paraId="4CFFFBC2">
      <w:pPr>
        <w:spacing w:line="360" w:lineRule="auto"/>
        <w:ind w:firstLine="480" w:firstLineChars="200"/>
        <w:rPr>
          <w:rFonts w:hint="eastAsia"/>
          <w:highlight w:val="none"/>
        </w:rPr>
      </w:pPr>
      <w:r>
        <w:rPr>
          <w:highlight w:val="none"/>
        </w:rPr>
        <w:t>19.2</w:t>
      </w:r>
      <w:r>
        <w:rPr>
          <w:rFonts w:hint="eastAsia"/>
          <w:highlight w:val="none"/>
        </w:rPr>
        <w:t>采购结果经采购人确认后，上海科瑞真诚建设项目管理有限公司将于</w:t>
      </w:r>
      <w:r>
        <w:rPr>
          <w:highlight w:val="none"/>
        </w:rPr>
        <w:t>2</w:t>
      </w:r>
      <w:r>
        <w:rPr>
          <w:rFonts w:hint="eastAsia"/>
          <w:highlight w:val="none"/>
        </w:rPr>
        <w:t>个工作日内在发布竞争性磋商公告的同一网站发布成交公告，并向成交方签发《成交通知书》。</w:t>
      </w:r>
    </w:p>
    <w:p w14:paraId="136A1B9E">
      <w:pPr>
        <w:spacing w:line="360" w:lineRule="auto"/>
        <w:ind w:firstLine="480" w:firstLineChars="200"/>
        <w:rPr>
          <w:rFonts w:hint="eastAsia"/>
          <w:highlight w:val="none"/>
        </w:rPr>
      </w:pPr>
      <w:r>
        <w:rPr>
          <w:highlight w:val="none"/>
        </w:rPr>
        <w:t>19.3</w:t>
      </w:r>
      <w:r>
        <w:rPr>
          <w:rFonts w:hint="eastAsia"/>
          <w:highlight w:val="none"/>
        </w:rPr>
        <w:t>“成交通知书”将作为签订合同的重要依据，当“成交通知书”与合同有差别时，以合同为准，合同将作为成交人的最终供货依据。</w:t>
      </w:r>
    </w:p>
    <w:p w14:paraId="68B24394">
      <w:pPr>
        <w:pStyle w:val="3"/>
        <w:spacing w:before="468" w:beforeLines="150" w:after="312" w:afterLines="100" w:line="360" w:lineRule="auto"/>
        <w:jc w:val="both"/>
        <w:rPr>
          <w:rFonts w:hint="eastAsia" w:ascii="宋体" w:hAnsi="宋体"/>
          <w:sz w:val="28"/>
          <w:szCs w:val="28"/>
          <w:highlight w:val="none"/>
        </w:rPr>
      </w:pPr>
      <w:r>
        <w:rPr>
          <w:rFonts w:hint="eastAsia" w:ascii="宋体" w:hAnsi="宋体"/>
          <w:sz w:val="28"/>
          <w:szCs w:val="28"/>
          <w:highlight w:val="none"/>
        </w:rPr>
        <w:t>六、合同的签订和履行</w:t>
      </w:r>
    </w:p>
    <w:p w14:paraId="19D77409">
      <w:pPr>
        <w:pStyle w:val="4"/>
        <w:spacing w:line="360" w:lineRule="auto"/>
        <w:ind w:firstLine="0"/>
        <w:rPr>
          <w:rFonts w:hint="eastAsia"/>
          <w:bCs/>
          <w:szCs w:val="24"/>
          <w:highlight w:val="none"/>
        </w:rPr>
      </w:pPr>
      <w:r>
        <w:rPr>
          <w:bCs/>
          <w:szCs w:val="24"/>
          <w:highlight w:val="none"/>
        </w:rPr>
        <w:t>20</w:t>
      </w:r>
      <w:r>
        <w:rPr>
          <w:rFonts w:hint="eastAsia"/>
          <w:bCs/>
          <w:szCs w:val="24"/>
          <w:highlight w:val="none"/>
        </w:rPr>
        <w:t>、成交结果公告和通知方式</w:t>
      </w:r>
    </w:p>
    <w:p w14:paraId="798B4CFD">
      <w:pPr>
        <w:spacing w:line="360" w:lineRule="auto"/>
        <w:ind w:firstLine="480" w:firstLineChars="200"/>
        <w:rPr>
          <w:rFonts w:hint="eastAsia"/>
          <w:highlight w:val="none"/>
        </w:rPr>
      </w:pPr>
      <w:r>
        <w:rPr>
          <w:highlight w:val="none"/>
        </w:rPr>
        <w:t xml:space="preserve">20.1 </w:t>
      </w:r>
      <w:r>
        <w:rPr>
          <w:rFonts w:hint="eastAsia"/>
          <w:highlight w:val="none"/>
        </w:rPr>
        <w:t>资格最终审查</w:t>
      </w:r>
    </w:p>
    <w:p w14:paraId="7015904D">
      <w:pPr>
        <w:spacing w:line="360" w:lineRule="auto"/>
        <w:ind w:firstLine="480" w:firstLineChars="200"/>
        <w:rPr>
          <w:rFonts w:hint="eastAsia"/>
          <w:highlight w:val="none"/>
        </w:rPr>
      </w:pPr>
      <w:r>
        <w:rPr>
          <w:highlight w:val="none"/>
        </w:rPr>
        <w:t>20</w:t>
      </w:r>
      <w:r>
        <w:rPr>
          <w:rFonts w:hint="eastAsia"/>
          <w:highlight w:val="none"/>
        </w:rPr>
        <w:t>.1.1 若第一成交候选人的财务、服务方案、服务能力及信誉等发生重大变化，导致不能圆满履行合同；采购人也可审查第一成交候选人的财务、服务方案、服务能力及信誉，确定其是否能圆满地履行合同。</w:t>
      </w:r>
    </w:p>
    <w:p w14:paraId="064DC6B3">
      <w:pPr>
        <w:spacing w:line="360" w:lineRule="auto"/>
        <w:ind w:firstLine="480" w:firstLineChars="200"/>
        <w:rPr>
          <w:rFonts w:hint="eastAsia"/>
          <w:highlight w:val="none"/>
        </w:rPr>
      </w:pPr>
      <w:r>
        <w:rPr>
          <w:highlight w:val="none"/>
        </w:rPr>
        <w:t>20</w:t>
      </w:r>
      <w:r>
        <w:rPr>
          <w:rFonts w:hint="eastAsia"/>
          <w:highlight w:val="none"/>
        </w:rPr>
        <w:t>.1.2 如果确定该投标人无条件圆满履行合同，采购人将对第二成交候选人资格做出类似的审查，直至确定成交供应商。</w:t>
      </w:r>
    </w:p>
    <w:p w14:paraId="70CC63B7">
      <w:pPr>
        <w:spacing w:line="360" w:lineRule="auto"/>
        <w:ind w:firstLine="480" w:firstLineChars="200"/>
        <w:rPr>
          <w:rFonts w:hint="eastAsia"/>
          <w:highlight w:val="none"/>
        </w:rPr>
      </w:pPr>
      <w:r>
        <w:rPr>
          <w:highlight w:val="none"/>
        </w:rPr>
        <w:t>20</w:t>
      </w:r>
      <w:r>
        <w:rPr>
          <w:rFonts w:hint="eastAsia"/>
          <w:highlight w:val="none"/>
        </w:rPr>
        <w:t>.</w:t>
      </w:r>
      <w:r>
        <w:rPr>
          <w:highlight w:val="none"/>
        </w:rPr>
        <w:t xml:space="preserve">2 </w:t>
      </w:r>
      <w:r>
        <w:rPr>
          <w:rFonts w:hint="eastAsia"/>
          <w:highlight w:val="none"/>
        </w:rPr>
        <w:t>采购单位在成交人确定后2个工作日内，向成交人发出“成交通知书”，成交人应在收到通知书当日以书面形式确认。采购单位对未成交的报价人不作未成交原因的解释。</w:t>
      </w:r>
    </w:p>
    <w:p w14:paraId="6C1A6780">
      <w:pPr>
        <w:spacing w:line="360" w:lineRule="auto"/>
        <w:ind w:firstLine="480" w:firstLineChars="200"/>
        <w:rPr>
          <w:rFonts w:hint="eastAsia"/>
          <w:highlight w:val="none"/>
        </w:rPr>
      </w:pPr>
      <w:r>
        <w:rPr>
          <w:highlight w:val="none"/>
        </w:rPr>
        <w:t>20</w:t>
      </w:r>
      <w:r>
        <w:rPr>
          <w:rFonts w:hint="eastAsia"/>
          <w:highlight w:val="none"/>
        </w:rPr>
        <w:t>.</w:t>
      </w:r>
      <w:r>
        <w:rPr>
          <w:highlight w:val="none"/>
        </w:rPr>
        <w:t xml:space="preserve">3 </w:t>
      </w:r>
      <w:r>
        <w:rPr>
          <w:rFonts w:hint="eastAsia"/>
          <w:highlight w:val="none"/>
        </w:rPr>
        <w:t>“成交通知书”将作为签订合同的重要依据，当“成交通知书”与合同有差别时，以合同为准，合同将作为成交人的最终供货或提供服务的依据。</w:t>
      </w:r>
    </w:p>
    <w:p w14:paraId="4C019BCD">
      <w:pPr>
        <w:pStyle w:val="4"/>
        <w:spacing w:line="360" w:lineRule="auto"/>
        <w:ind w:firstLine="0"/>
        <w:rPr>
          <w:rFonts w:hint="eastAsia"/>
          <w:bCs/>
          <w:szCs w:val="24"/>
          <w:highlight w:val="none"/>
        </w:rPr>
      </w:pPr>
      <w:r>
        <w:rPr>
          <w:bCs/>
          <w:szCs w:val="24"/>
          <w:highlight w:val="none"/>
        </w:rPr>
        <w:t>21</w:t>
      </w:r>
      <w:r>
        <w:rPr>
          <w:rFonts w:hint="eastAsia"/>
          <w:bCs/>
          <w:szCs w:val="24"/>
          <w:highlight w:val="none"/>
        </w:rPr>
        <w:t>、合同的签订</w:t>
      </w:r>
    </w:p>
    <w:p w14:paraId="74C2DC83">
      <w:pPr>
        <w:spacing w:line="360" w:lineRule="auto"/>
        <w:ind w:firstLine="480" w:firstLineChars="200"/>
        <w:rPr>
          <w:rFonts w:hint="eastAsia"/>
          <w:highlight w:val="none"/>
        </w:rPr>
      </w:pPr>
      <w:r>
        <w:rPr>
          <w:highlight w:val="none"/>
        </w:rPr>
        <w:t>21</w:t>
      </w:r>
      <w:r>
        <w:rPr>
          <w:rFonts w:hint="eastAsia"/>
          <w:highlight w:val="none"/>
        </w:rPr>
        <w:t>.1成交人在收到成交通知书30天内，须与采购单位按照竞争性磋商文件确定的合同文本以及采购标的、采购金额、采购数量、技术和服务要求等事项签订政府采购合同。成交人不得在收到成交通知书后，再与采购单位、采购人达成背离竞争性磋商文件确定的合同文本以及采购标的、采购金额、采购数量、技术和服务要求等实质性内容的其它协议或类似约定。</w:t>
      </w:r>
    </w:p>
    <w:p w14:paraId="72929402">
      <w:pPr>
        <w:spacing w:line="360" w:lineRule="auto"/>
        <w:ind w:firstLine="480" w:firstLineChars="200"/>
        <w:rPr>
          <w:rFonts w:hint="eastAsia"/>
          <w:highlight w:val="none"/>
        </w:rPr>
      </w:pPr>
      <w:r>
        <w:rPr>
          <w:highlight w:val="none"/>
        </w:rPr>
        <w:t>21</w:t>
      </w:r>
      <w:r>
        <w:rPr>
          <w:rFonts w:hint="eastAsia"/>
          <w:highlight w:val="none"/>
        </w:rPr>
        <w:t>.2采购合同经采购人和成交人双方法定代表人或其授权代表签字并加盖单位公章后生效。</w:t>
      </w:r>
    </w:p>
    <w:p w14:paraId="7C450BD5">
      <w:pPr>
        <w:spacing w:line="360" w:lineRule="auto"/>
        <w:ind w:firstLine="480" w:firstLineChars="200"/>
        <w:rPr>
          <w:rFonts w:hint="eastAsia"/>
          <w:highlight w:val="none"/>
        </w:rPr>
      </w:pPr>
      <w:r>
        <w:rPr>
          <w:highlight w:val="none"/>
        </w:rPr>
        <w:t>21</w:t>
      </w:r>
      <w:r>
        <w:rPr>
          <w:rFonts w:hint="eastAsia"/>
          <w:highlight w:val="none"/>
        </w:rPr>
        <w:t>.3竞争性磋商文件、成交人的响应文件及其澄清文件等，均为签订经济合同的依据。</w:t>
      </w:r>
    </w:p>
    <w:p w14:paraId="7FE3D500">
      <w:pPr>
        <w:pStyle w:val="4"/>
        <w:spacing w:line="360" w:lineRule="auto"/>
        <w:ind w:firstLine="0"/>
        <w:rPr>
          <w:rFonts w:hint="eastAsia"/>
          <w:bCs/>
          <w:szCs w:val="24"/>
          <w:highlight w:val="none"/>
        </w:rPr>
      </w:pPr>
      <w:r>
        <w:rPr>
          <w:bCs/>
          <w:szCs w:val="24"/>
          <w:highlight w:val="none"/>
        </w:rPr>
        <w:t>22</w:t>
      </w:r>
      <w:r>
        <w:rPr>
          <w:rFonts w:hint="eastAsia"/>
          <w:bCs/>
          <w:szCs w:val="24"/>
          <w:highlight w:val="none"/>
        </w:rPr>
        <w:t>、合同的履行</w:t>
      </w:r>
    </w:p>
    <w:p w14:paraId="626F4D1F">
      <w:pPr>
        <w:spacing w:line="360" w:lineRule="auto"/>
        <w:ind w:firstLine="480" w:firstLineChars="200"/>
        <w:rPr>
          <w:rFonts w:hint="eastAsia"/>
          <w:highlight w:val="none"/>
        </w:rPr>
      </w:pPr>
      <w:r>
        <w:rPr>
          <w:rFonts w:hint="eastAsia"/>
          <w:highlight w:val="none"/>
        </w:rPr>
        <w:t>采购项目完成</w:t>
      </w:r>
      <w:r>
        <w:rPr>
          <w:highlight w:val="none"/>
        </w:rPr>
        <w:t>后</w:t>
      </w:r>
      <w:r>
        <w:rPr>
          <w:rFonts w:hint="eastAsia"/>
          <w:highlight w:val="none"/>
        </w:rPr>
        <w:t>，应通知采购人对采购项目进行现场验收。采购人依据合同规定及时支付成交人的价款，采购人在合同期内按合同要求对成交人的履约情况进行监督、检查。</w:t>
      </w:r>
    </w:p>
    <w:p w14:paraId="62EE7C4B">
      <w:pPr>
        <w:pStyle w:val="3"/>
        <w:spacing w:before="468" w:beforeLines="150" w:after="312" w:afterLines="100" w:line="360" w:lineRule="auto"/>
        <w:jc w:val="both"/>
        <w:rPr>
          <w:rFonts w:hint="eastAsia" w:ascii="宋体" w:hAnsi="宋体"/>
          <w:sz w:val="28"/>
          <w:szCs w:val="28"/>
          <w:highlight w:val="none"/>
        </w:rPr>
      </w:pPr>
      <w:r>
        <w:rPr>
          <w:rFonts w:hint="eastAsia" w:ascii="宋体" w:hAnsi="宋体"/>
          <w:sz w:val="28"/>
          <w:szCs w:val="28"/>
          <w:highlight w:val="none"/>
        </w:rPr>
        <w:t>七、质疑和投诉</w:t>
      </w:r>
    </w:p>
    <w:p w14:paraId="722347DF">
      <w:pPr>
        <w:pStyle w:val="4"/>
        <w:spacing w:line="360" w:lineRule="auto"/>
        <w:ind w:firstLine="0"/>
        <w:rPr>
          <w:rFonts w:hint="eastAsia"/>
          <w:bCs/>
          <w:szCs w:val="24"/>
          <w:highlight w:val="none"/>
        </w:rPr>
      </w:pPr>
      <w:r>
        <w:rPr>
          <w:bCs/>
          <w:szCs w:val="24"/>
          <w:highlight w:val="none"/>
        </w:rPr>
        <w:t>23</w:t>
      </w:r>
      <w:r>
        <w:rPr>
          <w:rFonts w:hint="eastAsia"/>
          <w:bCs/>
          <w:szCs w:val="24"/>
          <w:highlight w:val="none"/>
        </w:rPr>
        <w:t>、质疑和投诉</w:t>
      </w:r>
    </w:p>
    <w:p w14:paraId="4E89352A">
      <w:pPr>
        <w:spacing w:line="360" w:lineRule="auto"/>
        <w:ind w:firstLine="480" w:firstLineChars="200"/>
        <w:rPr>
          <w:rFonts w:hint="eastAsia"/>
          <w:highlight w:val="none"/>
        </w:rPr>
      </w:pPr>
      <w:r>
        <w:rPr>
          <w:highlight w:val="none"/>
        </w:rPr>
        <w:t>23</w:t>
      </w:r>
      <w:r>
        <w:rPr>
          <w:rFonts w:hint="eastAsia"/>
          <w:highlight w:val="none"/>
        </w:rPr>
        <w:t>. 1报价人对招标活动事项有疑问的，可以向采购人提出询问。询问可以采取电话、电子邮件、当面或书面等形式。对报价人的询问，采购人将依法及时作出答复，但答复的内容不涉及商业秘密或者依法应当保密的内容。</w:t>
      </w:r>
    </w:p>
    <w:p w14:paraId="00C96F8B">
      <w:pPr>
        <w:spacing w:line="360" w:lineRule="auto"/>
        <w:ind w:firstLine="480" w:firstLineChars="200"/>
        <w:rPr>
          <w:rFonts w:hint="eastAsia"/>
          <w:highlight w:val="none"/>
        </w:rPr>
      </w:pPr>
      <w:r>
        <w:rPr>
          <w:rFonts w:hint="eastAsia"/>
          <w:highlight w:val="none"/>
        </w:rPr>
        <w:t>23. 2投标人认为磋商文件、招标过程或中标结果使自己的合法权益受到损害的，可以在知道或者应知其权益受到损害之日起七个工作日内，以书面形式向招标人提出质疑。其中，对磋商文件的质疑，应当在其收到或下载磋商文件之日或者磋商文件公告期限届满之日起七个工作日内提出；对招标过程的质疑，应当在各招标程序环节结束之日起七个工作日内提出；对中标结果的质疑，应当在中标公告期限届满之日起七个工作日内提出。投标人应当在法定质疑期内一次性提出针对同一采购程序环节的质疑，超过次数的质疑将不予受理。以联合体形式参加政府采购活动的，其质疑应当由组成联合体的所有供应商共同提出。</w:t>
      </w:r>
    </w:p>
    <w:p w14:paraId="4AC8CE75">
      <w:pPr>
        <w:spacing w:line="360" w:lineRule="auto"/>
        <w:ind w:firstLine="480" w:firstLineChars="200"/>
        <w:rPr>
          <w:rFonts w:hint="eastAsia"/>
          <w:highlight w:val="none"/>
        </w:rPr>
      </w:pPr>
      <w:r>
        <w:rPr>
          <w:rFonts w:hint="eastAsia"/>
          <w:highlight w:val="none"/>
        </w:rPr>
        <w:t>23.3 质疑书应明确阐述招标文件、招标过程或中标结果中使自己合法权益受到损害的实质性内容，提供相关事实、依据和证据及其来源或线索、必要的法律依据，以便于有关单位调查、答复和处理。</w:t>
      </w:r>
    </w:p>
    <w:p w14:paraId="14A549BB">
      <w:pPr>
        <w:spacing w:line="360" w:lineRule="auto"/>
        <w:ind w:firstLine="480" w:firstLineChars="200"/>
        <w:rPr>
          <w:rFonts w:hint="eastAsia"/>
          <w:highlight w:val="none"/>
        </w:rPr>
      </w:pPr>
      <w:r>
        <w:rPr>
          <w:rFonts w:hint="eastAsia"/>
          <w:highlight w:val="none"/>
        </w:rPr>
        <w:t>供应商提出质疑应当提交质疑函和必要的证明材料。质疑函应当包括下列内容：</w:t>
      </w:r>
    </w:p>
    <w:p w14:paraId="240A471A">
      <w:pPr>
        <w:spacing w:line="360" w:lineRule="auto"/>
        <w:ind w:firstLine="480" w:firstLineChars="200"/>
        <w:rPr>
          <w:rFonts w:hint="eastAsia"/>
          <w:highlight w:val="none"/>
        </w:rPr>
      </w:pPr>
      <w:r>
        <w:rPr>
          <w:rFonts w:hint="eastAsia"/>
          <w:highlight w:val="none"/>
        </w:rPr>
        <w:t>（1）供应商的姓名或者名称、地址、邮编、联系人及联系电话；</w:t>
      </w:r>
    </w:p>
    <w:p w14:paraId="395684D1">
      <w:pPr>
        <w:spacing w:line="360" w:lineRule="auto"/>
        <w:ind w:firstLine="480" w:firstLineChars="200"/>
        <w:rPr>
          <w:rFonts w:hint="eastAsia"/>
          <w:highlight w:val="none"/>
        </w:rPr>
      </w:pPr>
      <w:r>
        <w:rPr>
          <w:rFonts w:hint="eastAsia"/>
          <w:highlight w:val="none"/>
        </w:rPr>
        <w:t>（2）质疑项目的名称、编号；</w:t>
      </w:r>
    </w:p>
    <w:p w14:paraId="47320DA2">
      <w:pPr>
        <w:spacing w:line="360" w:lineRule="auto"/>
        <w:ind w:firstLine="480" w:firstLineChars="200"/>
        <w:rPr>
          <w:rFonts w:hint="eastAsia"/>
          <w:highlight w:val="none"/>
        </w:rPr>
      </w:pPr>
      <w:r>
        <w:rPr>
          <w:rFonts w:hint="eastAsia"/>
          <w:highlight w:val="none"/>
        </w:rPr>
        <w:t>（3）具体、明确的质疑事项和与质疑事项相关的请求；</w:t>
      </w:r>
    </w:p>
    <w:p w14:paraId="6641D32B">
      <w:pPr>
        <w:spacing w:line="360" w:lineRule="auto"/>
        <w:ind w:firstLine="480" w:firstLineChars="200"/>
        <w:rPr>
          <w:rFonts w:hint="eastAsia"/>
          <w:highlight w:val="none"/>
        </w:rPr>
      </w:pPr>
      <w:r>
        <w:rPr>
          <w:rFonts w:hint="eastAsia"/>
          <w:highlight w:val="none"/>
        </w:rPr>
        <w:t>（4）事实依据；</w:t>
      </w:r>
    </w:p>
    <w:p w14:paraId="064F183A">
      <w:pPr>
        <w:spacing w:line="360" w:lineRule="auto"/>
        <w:ind w:firstLine="480" w:firstLineChars="200"/>
        <w:rPr>
          <w:rFonts w:hint="eastAsia"/>
          <w:highlight w:val="none"/>
        </w:rPr>
      </w:pPr>
      <w:r>
        <w:rPr>
          <w:rFonts w:hint="eastAsia"/>
          <w:highlight w:val="none"/>
        </w:rPr>
        <w:t>（5）必要的法律依据；</w:t>
      </w:r>
    </w:p>
    <w:p w14:paraId="2361295C">
      <w:pPr>
        <w:spacing w:line="360" w:lineRule="auto"/>
        <w:ind w:firstLine="480" w:firstLineChars="200"/>
        <w:rPr>
          <w:rFonts w:hint="eastAsia"/>
          <w:highlight w:val="none"/>
        </w:rPr>
      </w:pPr>
      <w:r>
        <w:rPr>
          <w:rFonts w:hint="eastAsia"/>
          <w:highlight w:val="none"/>
        </w:rPr>
        <w:t>（6）提出质疑的日期。</w:t>
      </w:r>
    </w:p>
    <w:p w14:paraId="617C826A">
      <w:pPr>
        <w:spacing w:line="360" w:lineRule="auto"/>
        <w:ind w:firstLine="480" w:firstLineChars="200"/>
        <w:rPr>
          <w:rFonts w:hint="eastAsia"/>
          <w:highlight w:val="none"/>
        </w:rPr>
      </w:pPr>
      <w:r>
        <w:rPr>
          <w:rFonts w:hint="eastAsia"/>
          <w:highlight w:val="none"/>
        </w:rPr>
        <w:t>23.4 采购人、代理机构将在收到供应商的书面质疑后七个工作日内作出答复，并以书面形式通知提出质疑的供应商和其他有关供应商，但答复的内容不涉及商业秘密或者依法应当保密的内容。</w:t>
      </w:r>
    </w:p>
    <w:p w14:paraId="00A40E1A">
      <w:pPr>
        <w:spacing w:line="360" w:lineRule="auto"/>
        <w:ind w:firstLine="480" w:firstLineChars="200"/>
        <w:rPr>
          <w:rFonts w:hint="eastAsia"/>
          <w:highlight w:val="none"/>
        </w:rPr>
      </w:pPr>
      <w:r>
        <w:rPr>
          <w:rFonts w:hint="eastAsia"/>
          <w:highlight w:val="none"/>
        </w:rPr>
        <w:t>23.5 对投标人询问或质疑的答复将导致招标文件变更或者影响招标活动继续进行的，招标人将通知提出询问或质疑的投标人，并在原招标公告发布媒体上发布变更公告。</w:t>
      </w:r>
    </w:p>
    <w:p w14:paraId="30BDBD02">
      <w:pPr>
        <w:spacing w:line="360" w:lineRule="auto"/>
        <w:ind w:firstLine="480" w:firstLineChars="200"/>
        <w:rPr>
          <w:rFonts w:hint="eastAsia"/>
          <w:highlight w:val="none"/>
        </w:rPr>
      </w:pPr>
      <w:r>
        <w:rPr>
          <w:rFonts w:hint="eastAsia"/>
          <w:highlight w:val="none"/>
        </w:rPr>
        <w:t>23.6 质疑函的方式：书面形式，质疑函应当使用中文，质疑人提供外文书证或者外国语视听资料的，应当附有中文译本，由翻译机构盖章或者翻译人员签名。联系部门：上海科瑞真诚建设项目管理有限公司、联系电话：黄磊 021-67721110、通讯地址：上海市松江区鼎源路618弄79号。</w:t>
      </w:r>
    </w:p>
    <w:p w14:paraId="7A08CD17">
      <w:pPr>
        <w:spacing w:line="360" w:lineRule="auto"/>
        <w:ind w:firstLine="480" w:firstLineChars="200"/>
        <w:rPr>
          <w:rFonts w:hint="eastAsia"/>
          <w:highlight w:val="none"/>
        </w:rPr>
      </w:pPr>
      <w:r>
        <w:rPr>
          <w:rFonts w:hint="eastAsia"/>
          <w:highlight w:val="none"/>
        </w:rPr>
        <w:t>23.7 供应商在全国范围12个月内三次以上投诉查无实据的，由财政部门列入不良行为记录名单。</w:t>
      </w:r>
    </w:p>
    <w:p w14:paraId="3EB0EF1E">
      <w:pPr>
        <w:spacing w:line="360" w:lineRule="auto"/>
        <w:ind w:firstLine="480" w:firstLineChars="200"/>
        <w:rPr>
          <w:rFonts w:hint="eastAsia"/>
          <w:highlight w:val="none"/>
        </w:rPr>
      </w:pPr>
      <w:r>
        <w:rPr>
          <w:rFonts w:hint="eastAsia"/>
          <w:highlight w:val="none"/>
        </w:rPr>
        <w:t>供应商有下列行为之一的，属于虚假、恶意投诉，由财政部门列入不良行为记录名单，禁止其1至3年内参加政府采购活动：</w:t>
      </w:r>
    </w:p>
    <w:p w14:paraId="24D22898">
      <w:pPr>
        <w:spacing w:line="360" w:lineRule="auto"/>
        <w:ind w:firstLine="480" w:firstLineChars="200"/>
        <w:rPr>
          <w:rFonts w:hint="eastAsia"/>
          <w:highlight w:val="none"/>
        </w:rPr>
      </w:pPr>
      <w:r>
        <w:rPr>
          <w:rFonts w:hint="eastAsia"/>
          <w:highlight w:val="none"/>
        </w:rPr>
        <w:t>（1）捏造事实；</w:t>
      </w:r>
    </w:p>
    <w:p w14:paraId="2D6C08C4">
      <w:pPr>
        <w:spacing w:line="360" w:lineRule="auto"/>
        <w:ind w:firstLine="480" w:firstLineChars="200"/>
        <w:rPr>
          <w:rFonts w:hint="eastAsia"/>
          <w:highlight w:val="none"/>
        </w:rPr>
      </w:pPr>
      <w:r>
        <w:rPr>
          <w:rFonts w:hint="eastAsia"/>
          <w:highlight w:val="none"/>
        </w:rPr>
        <w:t>（2）提供虚假材料；</w:t>
      </w:r>
    </w:p>
    <w:p w14:paraId="24990DDD">
      <w:pPr>
        <w:spacing w:line="360" w:lineRule="auto"/>
        <w:ind w:firstLine="480" w:firstLineChars="200"/>
        <w:rPr>
          <w:rFonts w:hint="eastAsia"/>
          <w:highlight w:val="none"/>
        </w:rPr>
      </w:pPr>
      <w:r>
        <w:rPr>
          <w:rFonts w:hint="eastAsia"/>
          <w:highlight w:val="none"/>
        </w:rPr>
        <w:t>（3）以非法手段取得证明材料。证据来源的合法性存在明显疑问，投诉人无法证明其取得方式合法的，视为以非法手段取得证明材料。报价人对招标活动事项有疑问的，可以向采购代理机构提出询问。询问可以采取电话、电子邮件、当面或书面等形式。对报价人的询问，采购人及采购代理机构将依法及时作出答复，但答复的内容不涉及商业秘密或者依法应当保密的内容。</w:t>
      </w:r>
    </w:p>
    <w:p w14:paraId="1EB595C7">
      <w:pPr>
        <w:pStyle w:val="4"/>
        <w:spacing w:line="360" w:lineRule="auto"/>
        <w:ind w:firstLine="0"/>
        <w:rPr>
          <w:rFonts w:hint="eastAsia"/>
          <w:bCs/>
          <w:szCs w:val="24"/>
          <w:highlight w:val="none"/>
        </w:rPr>
      </w:pPr>
      <w:r>
        <w:rPr>
          <w:rFonts w:hint="eastAsia"/>
          <w:bCs/>
          <w:szCs w:val="24"/>
          <w:highlight w:val="none"/>
        </w:rPr>
        <w:t>八、关于关联企业</w:t>
      </w:r>
    </w:p>
    <w:bookmarkEnd w:id="61"/>
    <w:bookmarkEnd w:id="67"/>
    <w:bookmarkEnd w:id="68"/>
    <w:bookmarkEnd w:id="69"/>
    <w:p w14:paraId="373FB980">
      <w:pPr>
        <w:spacing w:line="360" w:lineRule="auto"/>
        <w:ind w:firstLine="480" w:firstLineChars="200"/>
        <w:rPr>
          <w:rFonts w:hint="eastAsia"/>
          <w:highlight w:val="none"/>
        </w:rPr>
      </w:pPr>
      <w:bookmarkStart w:id="70" w:name="_Toc457852001"/>
      <w:bookmarkStart w:id="71" w:name="_Toc72335515"/>
      <w:r>
        <w:rPr>
          <w:rFonts w:hint="eastAsia"/>
          <w:highlight w:val="none"/>
        </w:rPr>
        <w:t>2</w:t>
      </w:r>
      <w:r>
        <w:rPr>
          <w:highlight w:val="none"/>
        </w:rPr>
        <w:t>4.</w:t>
      </w:r>
      <w:r>
        <w:rPr>
          <w:rFonts w:hint="eastAsia"/>
          <w:highlight w:val="none"/>
        </w:rPr>
        <w:t>1</w:t>
      </w:r>
      <w:r>
        <w:rPr>
          <w:highlight w:val="none"/>
        </w:rPr>
        <w:t xml:space="preserve"> </w:t>
      </w:r>
      <w:r>
        <w:rPr>
          <w:rFonts w:hint="eastAsia"/>
          <w:highlight w:val="none"/>
        </w:rPr>
        <w:t>各供应商应认真填写本竞争性磋商文件附件与投标人关联企业情况表，并对填报的材料的真实性负责。</w:t>
      </w:r>
      <w:bookmarkEnd w:id="70"/>
      <w:bookmarkEnd w:id="71"/>
    </w:p>
    <w:p w14:paraId="22BC44E9">
      <w:pPr>
        <w:pStyle w:val="4"/>
        <w:spacing w:line="360" w:lineRule="auto"/>
        <w:ind w:firstLine="0"/>
        <w:rPr>
          <w:rFonts w:hint="eastAsia"/>
          <w:bCs/>
          <w:szCs w:val="24"/>
          <w:highlight w:val="none"/>
        </w:rPr>
      </w:pPr>
      <w:r>
        <w:rPr>
          <w:rFonts w:hint="eastAsia"/>
          <w:bCs/>
          <w:szCs w:val="24"/>
          <w:highlight w:val="none"/>
        </w:rPr>
        <w:t>九、政策采购政策</w:t>
      </w:r>
    </w:p>
    <w:p w14:paraId="2BAC5738">
      <w:pPr>
        <w:pStyle w:val="4"/>
        <w:spacing w:line="360" w:lineRule="auto"/>
        <w:ind w:firstLine="0"/>
        <w:rPr>
          <w:rFonts w:hint="eastAsia"/>
          <w:bCs/>
          <w:szCs w:val="24"/>
          <w:highlight w:val="none"/>
        </w:rPr>
      </w:pPr>
      <w:bookmarkStart w:id="72" w:name="_Toc26042_WPSOffice_Level2"/>
      <w:bookmarkStart w:id="73" w:name="_Toc30133_WPSOffice_Level2"/>
      <w:r>
        <w:rPr>
          <w:rFonts w:hint="eastAsia"/>
          <w:bCs/>
          <w:szCs w:val="24"/>
          <w:highlight w:val="none"/>
        </w:rPr>
        <w:t>2</w:t>
      </w:r>
      <w:r>
        <w:rPr>
          <w:bCs/>
          <w:szCs w:val="24"/>
          <w:highlight w:val="none"/>
        </w:rPr>
        <w:t>5</w:t>
      </w:r>
      <w:r>
        <w:rPr>
          <w:rFonts w:hint="eastAsia"/>
          <w:bCs/>
          <w:szCs w:val="24"/>
          <w:highlight w:val="none"/>
        </w:rPr>
        <w:t>、中小企业政策</w:t>
      </w:r>
      <w:bookmarkEnd w:id="72"/>
      <w:bookmarkEnd w:id="73"/>
    </w:p>
    <w:p w14:paraId="0D9AB825">
      <w:pPr>
        <w:spacing w:line="360" w:lineRule="auto"/>
        <w:ind w:firstLine="480" w:firstLineChars="200"/>
        <w:rPr>
          <w:rFonts w:hint="eastAsia"/>
          <w:highlight w:val="none"/>
        </w:rPr>
      </w:pPr>
      <w:r>
        <w:rPr>
          <w:rFonts w:hint="eastAsia"/>
          <w:highlight w:val="none"/>
        </w:rPr>
        <w:t>2</w:t>
      </w:r>
      <w:r>
        <w:rPr>
          <w:highlight w:val="none"/>
        </w:rPr>
        <w:t xml:space="preserve">5.1 </w:t>
      </w:r>
      <w:bookmarkStart w:id="74" w:name="_Hlk126933366"/>
      <w:r>
        <w:rPr>
          <w:rFonts w:hint="eastAsia"/>
          <w:highlight w:val="none"/>
        </w:rPr>
        <w:t>本项目专门面向中小微企业采购。投标人若为中型、小型、微型企业，必须按照规定提供真实、完整、准确的《中小企业声明函》，未提供或提供内容不全的，按不利于投标人的原则处理。</w:t>
      </w:r>
    </w:p>
    <w:p w14:paraId="03970AC8">
      <w:pPr>
        <w:spacing w:line="360" w:lineRule="auto"/>
        <w:ind w:firstLine="480" w:firstLineChars="200"/>
        <w:jc w:val="both"/>
        <w:rPr>
          <w:rFonts w:hint="eastAsia"/>
          <w:kern w:val="2"/>
          <w:highlight w:val="none"/>
        </w:rPr>
      </w:pPr>
      <w:r>
        <w:rPr>
          <w:rFonts w:hint="eastAsia"/>
          <w:kern w:val="2"/>
          <w:highlight w:val="none"/>
        </w:rPr>
        <w:t>符合中小企业划型标准的</w:t>
      </w:r>
      <w:r>
        <w:rPr>
          <w:rFonts w:hint="eastAsia"/>
          <w:b/>
          <w:bCs/>
          <w:kern w:val="2"/>
          <w:highlight w:val="none"/>
        </w:rPr>
        <w:t>个体工商户视同中小企业</w:t>
      </w:r>
      <w:r>
        <w:rPr>
          <w:rFonts w:hint="eastAsia"/>
          <w:kern w:val="2"/>
          <w:highlight w:val="none"/>
        </w:rPr>
        <w:t>，</w:t>
      </w:r>
      <w:r>
        <w:rPr>
          <w:rFonts w:hint="eastAsia"/>
          <w:b/>
          <w:bCs/>
          <w:kern w:val="2"/>
          <w:highlight w:val="none"/>
        </w:rPr>
        <w:t>残疾人福利性单位和监狱企业（含戒毒企业）视同小微企业</w:t>
      </w:r>
      <w:r>
        <w:rPr>
          <w:rFonts w:hint="eastAsia"/>
          <w:kern w:val="2"/>
          <w:highlight w:val="none"/>
        </w:rPr>
        <w:t>。</w:t>
      </w:r>
    </w:p>
    <w:p w14:paraId="54855BFE">
      <w:pPr>
        <w:spacing w:line="360" w:lineRule="auto"/>
        <w:ind w:firstLine="480" w:firstLineChars="200"/>
        <w:jc w:val="both"/>
        <w:rPr>
          <w:rFonts w:hint="eastAsia"/>
          <w:b/>
          <w:bCs/>
          <w:kern w:val="2"/>
          <w:highlight w:val="none"/>
        </w:rPr>
      </w:pPr>
      <w:r>
        <w:rPr>
          <w:rFonts w:hint="eastAsia"/>
          <w:b/>
          <w:bCs/>
          <w:kern w:val="2"/>
          <w:highlight w:val="none"/>
        </w:rPr>
        <w:t>新成立企业无上一年度从业人员、营业收入和资产总额数据的，根据其出具的《中小企业声明函》认可其为中小企业。</w:t>
      </w:r>
    </w:p>
    <w:p w14:paraId="1B27081A">
      <w:pPr>
        <w:spacing w:line="360" w:lineRule="auto"/>
        <w:ind w:firstLine="480" w:firstLineChars="200"/>
        <w:rPr>
          <w:rFonts w:hint="eastAsia"/>
          <w:highlight w:val="none"/>
        </w:rPr>
      </w:pPr>
      <w:r>
        <w:rPr>
          <w:rFonts w:hint="eastAsia"/>
          <w:b/>
          <w:bCs/>
          <w:kern w:val="2"/>
          <w:highlight w:val="none"/>
        </w:rPr>
        <w:t>境外企业或与境外企业组成联合体投标的，不享受中小企业扶持政策。</w:t>
      </w:r>
    </w:p>
    <w:p w14:paraId="436E8558">
      <w:pPr>
        <w:spacing w:line="360" w:lineRule="auto"/>
        <w:ind w:firstLine="480" w:firstLineChars="200"/>
        <w:rPr>
          <w:rFonts w:hint="eastAsia"/>
          <w:highlight w:val="none"/>
        </w:rPr>
      </w:pPr>
      <w:r>
        <w:rPr>
          <w:rFonts w:hint="eastAsia"/>
          <w:highlight w:val="none"/>
        </w:rPr>
        <w:t>2</w:t>
      </w:r>
      <w:r>
        <w:rPr>
          <w:highlight w:val="none"/>
        </w:rPr>
        <w:t xml:space="preserve">5.2 </w:t>
      </w:r>
      <w:r>
        <w:rPr>
          <w:rFonts w:hint="eastAsia"/>
          <w:highlight w:val="none"/>
        </w:rPr>
        <w:t>按照工信部等四部委《关于印发中小企业划型标准规定的通知》（工信部联企业〔2011〕300号）要求，该规定适用于</w:t>
      </w:r>
      <w:r>
        <w:rPr>
          <w:rFonts w:hint="eastAsia"/>
          <w:b/>
          <w:bCs/>
          <w:highlight w:val="none"/>
        </w:rPr>
        <w:t>在中国境内依法设立</w:t>
      </w:r>
      <w:r>
        <w:rPr>
          <w:rFonts w:hint="eastAsia"/>
          <w:highlight w:val="none"/>
        </w:rPr>
        <w:t>的各类所有制和各种组织形式的企业。依据现有规范性文件规定，事业单位、团体组织等非企业性质的政府采购投标人，不属于中小企业划型标准确定的中小企业，不享受中小企业扶持政策，不得按通知规定声明为中小微企业，也不适用《政府采购促进中小企业发展管理办法》，但事业单位、社会组织等非企业主体提供全部由中小企业制造的货物参加货物采购项目的除外），事业单位直接控股和管理的企业，依据中小企业划型标准认定其企业类型。</w:t>
      </w:r>
    </w:p>
    <w:p w14:paraId="01FE47C8">
      <w:pPr>
        <w:spacing w:line="360" w:lineRule="auto"/>
        <w:ind w:firstLine="480" w:firstLineChars="200"/>
        <w:rPr>
          <w:rFonts w:hint="eastAsia"/>
          <w:highlight w:val="none"/>
        </w:rPr>
      </w:pPr>
      <w:r>
        <w:rPr>
          <w:rFonts w:hint="eastAsia"/>
          <w:highlight w:val="none"/>
        </w:rPr>
        <w:t>2</w:t>
      </w:r>
      <w:r>
        <w:rPr>
          <w:highlight w:val="none"/>
        </w:rPr>
        <w:t xml:space="preserve">5.3 </w:t>
      </w:r>
      <w:r>
        <w:rPr>
          <w:rFonts w:hint="eastAsia"/>
          <w:highlight w:val="none"/>
        </w:rPr>
        <w:t>与大企业的负责人为同一人，或者与大企业存在直接控股、管理关系的中小企业，不享受中小企业扶持政策。大企业是指按照其自身所属行业和对应的中小企业划型标准，属于大型企业的企业。</w:t>
      </w:r>
    </w:p>
    <w:p w14:paraId="131469B9">
      <w:pPr>
        <w:spacing w:line="360" w:lineRule="auto"/>
        <w:ind w:firstLine="480" w:firstLineChars="200"/>
        <w:rPr>
          <w:rFonts w:hint="eastAsia"/>
          <w:highlight w:val="none"/>
        </w:rPr>
      </w:pPr>
      <w:r>
        <w:rPr>
          <w:rFonts w:hint="eastAsia"/>
          <w:highlight w:val="none"/>
        </w:rPr>
        <w:t>2</w:t>
      </w:r>
      <w:r>
        <w:rPr>
          <w:highlight w:val="none"/>
        </w:rPr>
        <w:t xml:space="preserve">5.4 </w:t>
      </w:r>
      <w:r>
        <w:rPr>
          <w:rFonts w:hint="eastAsia"/>
          <w:highlight w:val="none"/>
        </w:rPr>
        <w:t>符合中小企业划型标准的</w:t>
      </w:r>
      <w:r>
        <w:rPr>
          <w:rFonts w:hint="eastAsia"/>
          <w:b/>
          <w:bCs/>
          <w:highlight w:val="none"/>
        </w:rPr>
        <w:t>个体工商户视同中小企业</w:t>
      </w:r>
      <w:r>
        <w:rPr>
          <w:rFonts w:hint="eastAsia"/>
          <w:highlight w:val="none"/>
        </w:rPr>
        <w:t>，</w:t>
      </w:r>
      <w:r>
        <w:rPr>
          <w:rFonts w:hint="eastAsia"/>
          <w:b/>
          <w:bCs/>
          <w:highlight w:val="none"/>
        </w:rPr>
        <w:t>残疾人福利性单位和监狱企业（含戒毒企业）视同小微企业</w:t>
      </w:r>
      <w:r>
        <w:rPr>
          <w:rFonts w:hint="eastAsia"/>
          <w:highlight w:val="none"/>
        </w:rPr>
        <w:t>。</w:t>
      </w:r>
    </w:p>
    <w:p w14:paraId="11289C2E">
      <w:pPr>
        <w:spacing w:line="360" w:lineRule="auto"/>
        <w:ind w:firstLine="480" w:firstLineChars="200"/>
        <w:rPr>
          <w:rFonts w:hint="eastAsia"/>
          <w:highlight w:val="none"/>
        </w:rPr>
      </w:pPr>
      <w:r>
        <w:rPr>
          <w:rFonts w:hint="eastAsia"/>
          <w:highlight w:val="none"/>
        </w:rPr>
        <w:t>2</w:t>
      </w:r>
      <w:r>
        <w:rPr>
          <w:highlight w:val="none"/>
        </w:rPr>
        <w:t xml:space="preserve">5.5 </w:t>
      </w:r>
      <w:r>
        <w:rPr>
          <w:rFonts w:hint="eastAsia"/>
          <w:highlight w:val="none"/>
        </w:rPr>
        <w:t>供应商符合中小企业条件的，应当按照《中小企业声明函》格式，如实、完整填报从业人员、营业收入和资产总额等信息，并按照国务院批准的中小企业划型标准和采购标的所属行业，声明企业类型。货物采购项目应当对制造商进行声明，工程和服务采购项目应当对供应商进行声明。采购项目涉及多个采购标的（主要采购标的，不包括配件、辅料等）且由不同制造商制造或者由不同供应商承建（承接）的，应当逐一填报每个采购标的的制造商或者承建（承接）供应商信息。</w:t>
      </w:r>
      <w:bookmarkEnd w:id="74"/>
    </w:p>
    <w:p w14:paraId="5DFC3D24">
      <w:pPr>
        <w:spacing w:line="360" w:lineRule="auto"/>
        <w:ind w:firstLine="480" w:firstLineChars="200"/>
        <w:rPr>
          <w:rFonts w:hint="eastAsia"/>
          <w:b/>
          <w:bCs/>
          <w:highlight w:val="none"/>
        </w:rPr>
      </w:pPr>
      <w:r>
        <w:rPr>
          <w:rFonts w:hint="eastAsia"/>
          <w:highlight w:val="none"/>
        </w:rPr>
        <w:t>2</w:t>
      </w:r>
      <w:r>
        <w:rPr>
          <w:highlight w:val="none"/>
        </w:rPr>
        <w:t>5.6 按照《中小企业划分标准规定》（工信部联企业[2011]300号），</w:t>
      </w:r>
      <w:r>
        <w:rPr>
          <w:b/>
          <w:bCs/>
          <w:highlight w:val="none"/>
        </w:rPr>
        <w:t>本项目</w:t>
      </w:r>
      <w:r>
        <w:rPr>
          <w:rFonts w:hint="eastAsia"/>
          <w:b/>
          <w:bCs/>
          <w:highlight w:val="none"/>
        </w:rPr>
        <w:t>采购</w:t>
      </w:r>
      <w:r>
        <w:rPr>
          <w:b/>
          <w:bCs/>
          <w:highlight w:val="none"/>
        </w:rPr>
        <w:t>属于</w:t>
      </w:r>
      <w:r>
        <w:rPr>
          <w:rFonts w:hint="eastAsia"/>
          <w:b/>
          <w:bCs/>
          <w:highlight w:val="none"/>
          <w:u w:val="single"/>
        </w:rPr>
        <w:t>其他未列明行业</w:t>
      </w:r>
      <w:r>
        <w:rPr>
          <w:b/>
          <w:bCs/>
          <w:highlight w:val="none"/>
        </w:rPr>
        <w:t>。</w:t>
      </w:r>
    </w:p>
    <w:p w14:paraId="30C28344">
      <w:pPr>
        <w:pStyle w:val="4"/>
        <w:spacing w:line="360" w:lineRule="auto"/>
        <w:ind w:firstLine="0"/>
        <w:rPr>
          <w:rFonts w:hint="eastAsia"/>
          <w:bCs/>
          <w:sz w:val="18"/>
          <w:highlight w:val="none"/>
        </w:rPr>
      </w:pPr>
      <w:bookmarkStart w:id="75" w:name="_Toc5758_WPSOffice_Level2"/>
      <w:bookmarkStart w:id="76" w:name="_Toc14141_WPSOffice_Level2"/>
      <w:r>
        <w:rPr>
          <w:rFonts w:hint="eastAsia"/>
          <w:bCs/>
          <w:szCs w:val="24"/>
          <w:highlight w:val="none"/>
        </w:rPr>
        <w:t>2</w:t>
      </w:r>
      <w:r>
        <w:rPr>
          <w:bCs/>
          <w:szCs w:val="24"/>
          <w:highlight w:val="none"/>
        </w:rPr>
        <w:t>6</w:t>
      </w:r>
      <w:r>
        <w:rPr>
          <w:rFonts w:hint="eastAsia"/>
          <w:bCs/>
          <w:szCs w:val="24"/>
          <w:highlight w:val="none"/>
        </w:rPr>
        <w:t>、促进残疾人就业政策</w:t>
      </w:r>
      <w:bookmarkEnd w:id="75"/>
      <w:bookmarkEnd w:id="76"/>
    </w:p>
    <w:p w14:paraId="3132A4D7">
      <w:pPr>
        <w:spacing w:line="360" w:lineRule="auto"/>
        <w:ind w:firstLine="480" w:firstLineChars="200"/>
        <w:rPr>
          <w:rFonts w:hint="eastAsia"/>
          <w:highlight w:val="none"/>
        </w:rPr>
      </w:pPr>
      <w:r>
        <w:rPr>
          <w:rFonts w:hint="eastAsia"/>
          <w:highlight w:val="none"/>
        </w:rPr>
        <w:t>根据财政部、民政部、 中国残疾人联合《关于促进残疾人就业政府采购政策的通知》（财库〔2017〕141号）的规定，在政府采购活动中，残疾人福利单位视同小型、微型企业，享受预留份额、评审中价格等促进中小企业发展的政策采购政策，即非专门面向中小企业采购的项目对残疾人福利型单位产品的价格给予</w:t>
      </w:r>
      <w:r>
        <w:rPr>
          <w:highlight w:val="none"/>
        </w:rPr>
        <w:t>10</w:t>
      </w:r>
      <w:r>
        <w:rPr>
          <w:rFonts w:hint="eastAsia"/>
          <w:highlight w:val="none"/>
        </w:rPr>
        <w:t>%的扣除，用扣除后的价格参与评审。残疾人福利性单位属于小型、微型企业的，不重复享受政策。</w:t>
      </w:r>
    </w:p>
    <w:p w14:paraId="7EEA9D79">
      <w:pPr>
        <w:spacing w:line="360" w:lineRule="auto"/>
        <w:ind w:firstLine="480" w:firstLineChars="200"/>
        <w:rPr>
          <w:rFonts w:hint="eastAsia"/>
          <w:highlight w:val="none"/>
        </w:rPr>
      </w:pPr>
      <w:r>
        <w:rPr>
          <w:rFonts w:hint="eastAsia"/>
          <w:highlight w:val="none"/>
        </w:rPr>
        <w:t>投标人若为符合条件的残疾人福利性单位，必须按照规定提供真实、完整、准确的《残疾人福利性单位声明函》，未提供或提供内容不全的，则不适用价格扣除法。</w:t>
      </w:r>
    </w:p>
    <w:p w14:paraId="09A83534">
      <w:pPr>
        <w:spacing w:line="360" w:lineRule="auto"/>
        <w:ind w:firstLine="480" w:firstLineChars="200"/>
        <w:rPr>
          <w:rFonts w:hint="eastAsia"/>
          <w:highlight w:val="none"/>
        </w:rPr>
      </w:pPr>
      <w:r>
        <w:rPr>
          <w:rFonts w:hint="eastAsia"/>
          <w:highlight w:val="none"/>
        </w:rPr>
        <w:t>投标人提供的《残疾人福利性单位声明函》与事实不符的，依照《政府采购法》第七十七条第一款的规定追究法律责任。中标人为残疾人福利性单位的，随中标结果同时公告其《残疾人福利性单位声明函》，接受社会监督。</w:t>
      </w:r>
    </w:p>
    <w:p w14:paraId="150DC451">
      <w:pPr>
        <w:pStyle w:val="4"/>
        <w:spacing w:line="360" w:lineRule="auto"/>
        <w:ind w:firstLine="0"/>
        <w:rPr>
          <w:rFonts w:hint="eastAsia"/>
          <w:bCs/>
          <w:szCs w:val="24"/>
          <w:highlight w:val="none"/>
        </w:rPr>
      </w:pPr>
      <w:bookmarkStart w:id="77" w:name="_Toc13158_WPSOffice_Level2"/>
      <w:bookmarkStart w:id="78" w:name="_Toc1624_WPSOffice_Level2"/>
      <w:r>
        <w:rPr>
          <w:rFonts w:hint="eastAsia"/>
          <w:bCs/>
          <w:szCs w:val="24"/>
          <w:highlight w:val="none"/>
        </w:rPr>
        <w:t>2</w:t>
      </w:r>
      <w:r>
        <w:rPr>
          <w:bCs/>
          <w:szCs w:val="24"/>
          <w:highlight w:val="none"/>
        </w:rPr>
        <w:t>7</w:t>
      </w:r>
      <w:r>
        <w:rPr>
          <w:rFonts w:hint="eastAsia"/>
          <w:bCs/>
          <w:szCs w:val="24"/>
          <w:highlight w:val="none"/>
        </w:rPr>
        <w:t>、监狱企业政策</w:t>
      </w:r>
      <w:bookmarkEnd w:id="77"/>
      <w:bookmarkEnd w:id="78"/>
    </w:p>
    <w:p w14:paraId="4C310249">
      <w:pPr>
        <w:spacing w:line="360" w:lineRule="auto"/>
        <w:ind w:firstLine="480" w:firstLineChars="200"/>
        <w:rPr>
          <w:rFonts w:hint="eastAsia"/>
          <w:highlight w:val="none"/>
        </w:rPr>
      </w:pPr>
      <w:r>
        <w:rPr>
          <w:rFonts w:hint="eastAsia"/>
          <w:highlight w:val="none"/>
        </w:rPr>
        <w:t>根据《财政部 司法部关于政府采购支持监狱企业发展有关问题的通知》（财库[2014]68号）的规定，监狱企业（含戒毒企业）视同小型、微型企业，适用本须知第</w:t>
      </w:r>
      <w:r>
        <w:rPr>
          <w:highlight w:val="none"/>
        </w:rPr>
        <w:t>26</w:t>
      </w:r>
      <w:r>
        <w:rPr>
          <w:rFonts w:hint="eastAsia"/>
          <w:highlight w:val="none"/>
        </w:rPr>
        <w:t>条款规定的价格扣除法。监狱企业应当提供由省级以上监狱管理局、戒毒管理局（含新疆生产建设兵团）出具的属于监狱企业的证明文件。</w:t>
      </w:r>
    </w:p>
    <w:p w14:paraId="0F318077">
      <w:pPr>
        <w:pStyle w:val="4"/>
        <w:spacing w:line="360" w:lineRule="auto"/>
        <w:ind w:firstLine="0"/>
        <w:rPr>
          <w:rFonts w:hint="eastAsia"/>
          <w:bCs/>
          <w:sz w:val="18"/>
          <w:highlight w:val="none"/>
        </w:rPr>
      </w:pPr>
      <w:bookmarkStart w:id="79" w:name="_Toc25561_WPSOffice_Level2"/>
      <w:bookmarkStart w:id="80" w:name="_Toc18883_WPSOffice_Level2"/>
      <w:r>
        <w:rPr>
          <w:rFonts w:hint="eastAsia"/>
          <w:bCs/>
          <w:szCs w:val="24"/>
          <w:highlight w:val="none"/>
        </w:rPr>
        <w:t>2</w:t>
      </w:r>
      <w:r>
        <w:rPr>
          <w:bCs/>
          <w:szCs w:val="24"/>
          <w:highlight w:val="none"/>
        </w:rPr>
        <w:t>8</w:t>
      </w:r>
      <w:r>
        <w:rPr>
          <w:rFonts w:hint="eastAsia"/>
          <w:bCs/>
          <w:szCs w:val="24"/>
          <w:highlight w:val="none"/>
        </w:rPr>
        <w:t>、节能产品、环境标志产品</w:t>
      </w:r>
      <w:bookmarkEnd w:id="79"/>
      <w:bookmarkEnd w:id="80"/>
    </w:p>
    <w:p w14:paraId="791A15D1">
      <w:pPr>
        <w:spacing w:line="360" w:lineRule="auto"/>
        <w:ind w:firstLine="480" w:firstLineChars="200"/>
        <w:rPr>
          <w:rFonts w:hint="eastAsia"/>
          <w:highlight w:val="none"/>
        </w:rPr>
      </w:pPr>
      <w:r>
        <w:rPr>
          <w:rFonts w:hint="eastAsia"/>
          <w:highlight w:val="none"/>
        </w:rPr>
        <w:t>财政部、发展改革委、生态环境部等部门根据产品节能环保性能、技术水平和市场成熟程度等因素，确定实施政府优先采购和强制采购的产品类别及所依据的相关标准规范，以品目清单的形式发布并适时调整（目前品目清单详见《关于印发环境标志产品政府采购品目清单的通知》财库〔2019〕18号和《关于印发节能产品政府采购品目清单的通知》财库〔2019〕19号）。依据品目清单和认证证书实施政府优先采购和强制采购。</w:t>
      </w:r>
    </w:p>
    <w:p w14:paraId="78C3E2CA">
      <w:pPr>
        <w:spacing w:line="360" w:lineRule="auto"/>
        <w:ind w:firstLine="480" w:firstLineChars="200"/>
        <w:rPr>
          <w:rFonts w:hint="eastAsia"/>
          <w:highlight w:val="none"/>
        </w:rPr>
      </w:pPr>
      <w:r>
        <w:rPr>
          <w:rFonts w:hint="eastAsia"/>
          <w:highlight w:val="none"/>
        </w:rPr>
        <w:t>本项目拟采购的产品属于品目清单范围的，将在本采购需求中另行明确：应当依据国家确定的认证机构出具的、处于有效期之内的节能产品、环境标志产品认证证书，对获得证书的产品实施政府优先采购或强制采购的相关内容。</w:t>
      </w:r>
    </w:p>
    <w:p w14:paraId="0DE066EE">
      <w:pPr>
        <w:spacing w:line="360" w:lineRule="auto"/>
        <w:rPr>
          <w:rFonts w:hint="eastAsia"/>
          <w:highlight w:val="none"/>
        </w:rPr>
      </w:pPr>
      <w:r>
        <w:rPr>
          <w:highlight w:val="none"/>
        </w:rPr>
        <w:br w:type="page"/>
      </w:r>
    </w:p>
    <w:p w14:paraId="74D98290">
      <w:pPr>
        <w:pStyle w:val="2"/>
        <w:spacing w:line="360" w:lineRule="auto"/>
        <w:rPr>
          <w:rFonts w:hint="eastAsia"/>
          <w:spacing w:val="0"/>
          <w:sz w:val="40"/>
          <w:highlight w:val="none"/>
        </w:rPr>
      </w:pPr>
      <w:bookmarkStart w:id="81" w:name="_Toc415478491"/>
      <w:bookmarkStart w:id="82" w:name="_Toc72335521"/>
      <w:bookmarkStart w:id="83" w:name="_Toc30082"/>
      <w:r>
        <w:rPr>
          <w:rFonts w:hint="eastAsia"/>
          <w:spacing w:val="0"/>
          <w:sz w:val="40"/>
          <w:highlight w:val="none"/>
        </w:rPr>
        <w:t>第三部分  项目采购需求</w:t>
      </w:r>
      <w:bookmarkEnd w:id="81"/>
      <w:bookmarkEnd w:id="82"/>
      <w:bookmarkEnd w:id="83"/>
    </w:p>
    <w:p w14:paraId="588E96AC">
      <w:pPr>
        <w:keepNext/>
        <w:keepLines/>
        <w:pageBreakBefore w:val="0"/>
        <w:widowControl/>
        <w:tabs>
          <w:tab w:val="left" w:pos="0"/>
        </w:tabs>
        <w:kinsoku/>
        <w:wordWrap/>
        <w:overflowPunct/>
        <w:topLinePunct w:val="0"/>
        <w:bidi w:val="0"/>
        <w:adjustRightInd w:val="0"/>
        <w:spacing w:line="360" w:lineRule="auto"/>
        <w:jc w:val="both"/>
        <w:textAlignment w:val="baseline"/>
        <w:outlineLvl w:val="0"/>
        <w:rPr>
          <w:rFonts w:hint="eastAsia"/>
          <w:b/>
          <w:bCs/>
          <w:kern w:val="44"/>
          <w:highlight w:val="none"/>
        </w:rPr>
      </w:pPr>
      <w:bookmarkStart w:id="84" w:name="_Toc415478497"/>
      <w:r>
        <w:rPr>
          <w:rFonts w:hint="eastAsia"/>
          <w:b/>
          <w:bCs/>
          <w:kern w:val="44"/>
          <w:highlight w:val="none"/>
        </w:rPr>
        <w:t>一、项目概述</w:t>
      </w:r>
    </w:p>
    <w:tbl>
      <w:tblPr>
        <w:tblStyle w:val="37"/>
        <w:tblW w:w="499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57" w:type="dxa"/>
          <w:left w:w="108" w:type="dxa"/>
          <w:bottom w:w="57" w:type="dxa"/>
          <w:right w:w="108" w:type="dxa"/>
        </w:tblCellMar>
      </w:tblPr>
      <w:tblGrid>
        <w:gridCol w:w="2093"/>
        <w:gridCol w:w="7191"/>
      </w:tblGrid>
      <w:tr w14:paraId="719F91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49" w:hRule="atLeast"/>
        </w:trPr>
        <w:tc>
          <w:tcPr>
            <w:tcW w:w="1127" w:type="pct"/>
            <w:tcBorders>
              <w:top w:val="single" w:color="auto" w:sz="12" w:space="0"/>
              <w:left w:val="single" w:color="auto" w:sz="12" w:space="0"/>
              <w:bottom w:val="single" w:color="auto" w:sz="4" w:space="0"/>
              <w:right w:val="single" w:color="auto" w:sz="4" w:space="0"/>
            </w:tcBorders>
            <w:vAlign w:val="center"/>
          </w:tcPr>
          <w:p w14:paraId="184B48B7">
            <w:pPr>
              <w:pageBreakBefore w:val="0"/>
              <w:widowControl/>
              <w:kinsoku/>
              <w:wordWrap/>
              <w:overflowPunct/>
              <w:topLinePunct w:val="0"/>
              <w:bidi w:val="0"/>
              <w:spacing w:line="360" w:lineRule="auto"/>
              <w:rPr>
                <w:rFonts w:hint="eastAsia"/>
                <w:highlight w:val="none"/>
              </w:rPr>
            </w:pPr>
            <w:r>
              <w:rPr>
                <w:rFonts w:hint="eastAsia"/>
                <w:highlight w:val="none"/>
                <w:lang w:bidi="ar"/>
              </w:rPr>
              <w:t>项目名称</w:t>
            </w:r>
          </w:p>
        </w:tc>
        <w:tc>
          <w:tcPr>
            <w:tcW w:w="3872" w:type="pct"/>
            <w:tcBorders>
              <w:top w:val="single" w:color="auto" w:sz="12" w:space="0"/>
              <w:left w:val="single" w:color="auto" w:sz="4" w:space="0"/>
              <w:bottom w:val="single" w:color="auto" w:sz="4" w:space="0"/>
              <w:right w:val="single" w:color="auto" w:sz="12" w:space="0"/>
            </w:tcBorders>
            <w:vAlign w:val="center"/>
          </w:tcPr>
          <w:p w14:paraId="4C168BC2">
            <w:pPr>
              <w:pageBreakBefore w:val="0"/>
              <w:widowControl/>
              <w:kinsoku/>
              <w:wordWrap/>
              <w:overflowPunct/>
              <w:topLinePunct w:val="0"/>
              <w:bidi w:val="0"/>
              <w:spacing w:line="360" w:lineRule="auto"/>
              <w:rPr>
                <w:rFonts w:hint="eastAsia" w:eastAsia="宋体"/>
                <w:highlight w:val="none"/>
                <w:lang w:eastAsia="zh-CN"/>
              </w:rPr>
            </w:pPr>
            <w:r>
              <w:rPr>
                <w:rFonts w:hint="eastAsia"/>
                <w:highlight w:val="none"/>
                <w:lang w:eastAsia="zh-CN"/>
              </w:rPr>
              <w:t>“十五五”建设用地减量化及一般耕地复垦实施方案</w:t>
            </w:r>
          </w:p>
        </w:tc>
      </w:tr>
      <w:tr w14:paraId="1874BC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49" w:hRule="atLeast"/>
        </w:trPr>
        <w:tc>
          <w:tcPr>
            <w:tcW w:w="1127" w:type="pct"/>
            <w:tcBorders>
              <w:top w:val="single" w:color="auto" w:sz="4" w:space="0"/>
              <w:left w:val="single" w:color="auto" w:sz="12" w:space="0"/>
              <w:bottom w:val="single" w:color="auto" w:sz="4" w:space="0"/>
              <w:right w:val="single" w:color="auto" w:sz="4" w:space="0"/>
            </w:tcBorders>
            <w:vAlign w:val="center"/>
          </w:tcPr>
          <w:p w14:paraId="12B41F08">
            <w:pPr>
              <w:pageBreakBefore w:val="0"/>
              <w:widowControl/>
              <w:kinsoku/>
              <w:wordWrap/>
              <w:overflowPunct/>
              <w:topLinePunct w:val="0"/>
              <w:bidi w:val="0"/>
              <w:spacing w:line="360" w:lineRule="auto"/>
              <w:rPr>
                <w:rFonts w:hint="eastAsia"/>
                <w:highlight w:val="none"/>
              </w:rPr>
            </w:pPr>
            <w:r>
              <w:rPr>
                <w:rFonts w:hint="eastAsia"/>
                <w:highlight w:val="none"/>
                <w:lang w:bidi="ar"/>
              </w:rPr>
              <w:t>采购内容</w:t>
            </w:r>
          </w:p>
        </w:tc>
        <w:tc>
          <w:tcPr>
            <w:tcW w:w="3872" w:type="pct"/>
            <w:tcBorders>
              <w:top w:val="single" w:color="auto" w:sz="4" w:space="0"/>
              <w:left w:val="single" w:color="auto" w:sz="4" w:space="0"/>
              <w:bottom w:val="single" w:color="auto" w:sz="4" w:space="0"/>
              <w:right w:val="single" w:color="auto" w:sz="12" w:space="0"/>
            </w:tcBorders>
            <w:vAlign w:val="center"/>
          </w:tcPr>
          <w:p w14:paraId="38C9880C">
            <w:pPr>
              <w:pageBreakBefore w:val="0"/>
              <w:widowControl/>
              <w:kinsoku/>
              <w:wordWrap/>
              <w:overflowPunct/>
              <w:topLinePunct w:val="0"/>
              <w:bidi w:val="0"/>
              <w:spacing w:line="360" w:lineRule="auto"/>
              <w:rPr>
                <w:rFonts w:hint="eastAsia"/>
                <w:highlight w:val="none"/>
              </w:rPr>
            </w:pPr>
            <w:r>
              <w:rPr>
                <w:rFonts w:hint="eastAsia"/>
                <w:highlight w:val="none"/>
                <w:lang w:eastAsia="zh-CN"/>
              </w:rPr>
              <w:t>“十五五”建设用地减量化及一般耕地复垦实施方案</w:t>
            </w:r>
            <w:r>
              <w:rPr>
                <w:rFonts w:hint="eastAsia"/>
                <w:highlight w:val="none"/>
              </w:rPr>
              <w:t>，具体项目内容、采购范围及所应达到的具体要求，以竞争性磋商文件相应规定为准</w:t>
            </w:r>
          </w:p>
        </w:tc>
      </w:tr>
      <w:tr w14:paraId="7D3E32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60" w:hRule="atLeast"/>
        </w:trPr>
        <w:tc>
          <w:tcPr>
            <w:tcW w:w="1127" w:type="pct"/>
            <w:tcBorders>
              <w:top w:val="single" w:color="auto" w:sz="4" w:space="0"/>
              <w:left w:val="single" w:color="auto" w:sz="12" w:space="0"/>
              <w:bottom w:val="single" w:color="auto" w:sz="12" w:space="0"/>
              <w:right w:val="single" w:color="auto" w:sz="4" w:space="0"/>
            </w:tcBorders>
            <w:vAlign w:val="center"/>
          </w:tcPr>
          <w:p w14:paraId="7760E161">
            <w:pPr>
              <w:pageBreakBefore w:val="0"/>
              <w:widowControl/>
              <w:kinsoku/>
              <w:wordWrap/>
              <w:overflowPunct/>
              <w:topLinePunct w:val="0"/>
              <w:bidi w:val="0"/>
              <w:spacing w:line="360" w:lineRule="auto"/>
              <w:rPr>
                <w:rFonts w:hint="eastAsia"/>
                <w:highlight w:val="none"/>
              </w:rPr>
            </w:pPr>
            <w:r>
              <w:rPr>
                <w:rFonts w:hint="eastAsia"/>
                <w:highlight w:val="none"/>
                <w:lang w:bidi="ar"/>
              </w:rPr>
              <w:t>项目预算</w:t>
            </w:r>
          </w:p>
        </w:tc>
        <w:tc>
          <w:tcPr>
            <w:tcW w:w="3872" w:type="pct"/>
            <w:tcBorders>
              <w:top w:val="single" w:color="auto" w:sz="4" w:space="0"/>
              <w:left w:val="single" w:color="auto" w:sz="4" w:space="0"/>
              <w:bottom w:val="single" w:color="auto" w:sz="12" w:space="0"/>
              <w:right w:val="single" w:color="auto" w:sz="12" w:space="0"/>
            </w:tcBorders>
            <w:vAlign w:val="center"/>
          </w:tcPr>
          <w:p w14:paraId="284965AF">
            <w:pPr>
              <w:pageBreakBefore w:val="0"/>
              <w:widowControl/>
              <w:kinsoku/>
              <w:wordWrap/>
              <w:overflowPunct/>
              <w:topLinePunct w:val="0"/>
              <w:bidi w:val="0"/>
              <w:spacing w:line="360" w:lineRule="auto"/>
              <w:rPr>
                <w:rFonts w:hint="eastAsia"/>
                <w:highlight w:val="none"/>
              </w:rPr>
            </w:pPr>
            <w:r>
              <w:rPr>
                <w:rFonts w:hint="eastAsia"/>
                <w:highlight w:val="none"/>
                <w:lang w:bidi="ar"/>
              </w:rPr>
              <w:t>本项目采购预算金额为</w:t>
            </w:r>
            <w:r>
              <w:rPr>
                <w:rFonts w:hint="eastAsia"/>
                <w:highlight w:val="none"/>
                <w:lang w:val="en-US" w:eastAsia="zh-CN" w:bidi="ar"/>
              </w:rPr>
              <w:t>98</w:t>
            </w:r>
            <w:r>
              <w:rPr>
                <w:rFonts w:hint="eastAsia"/>
                <w:highlight w:val="none"/>
                <w:lang w:bidi="ar"/>
              </w:rPr>
              <w:t>万元，超过预算的投标按无效投标处理。</w:t>
            </w:r>
          </w:p>
        </w:tc>
      </w:tr>
    </w:tbl>
    <w:p w14:paraId="215D76B6">
      <w:pPr>
        <w:keepNext/>
        <w:keepLines/>
        <w:pageBreakBefore w:val="0"/>
        <w:widowControl/>
        <w:tabs>
          <w:tab w:val="left" w:pos="0"/>
        </w:tabs>
        <w:kinsoku/>
        <w:wordWrap/>
        <w:overflowPunct/>
        <w:topLinePunct w:val="0"/>
        <w:bidi w:val="0"/>
        <w:adjustRightInd w:val="0"/>
        <w:spacing w:line="360" w:lineRule="auto"/>
        <w:jc w:val="both"/>
        <w:textAlignment w:val="baseline"/>
        <w:outlineLvl w:val="0"/>
        <w:rPr>
          <w:rFonts w:hint="eastAsia"/>
          <w:b/>
          <w:bCs/>
          <w:kern w:val="44"/>
          <w:highlight w:val="none"/>
        </w:rPr>
      </w:pPr>
      <w:r>
        <w:rPr>
          <w:rFonts w:hint="eastAsia"/>
          <w:b/>
          <w:bCs/>
          <w:kern w:val="44"/>
          <w:highlight w:val="none"/>
          <w:lang w:val="en-US" w:eastAsia="zh-CN"/>
        </w:rPr>
        <w:t>二</w:t>
      </w:r>
      <w:r>
        <w:rPr>
          <w:rFonts w:hint="eastAsia"/>
          <w:b/>
          <w:bCs/>
          <w:kern w:val="44"/>
          <w:highlight w:val="none"/>
        </w:rPr>
        <w:t>、项目背景</w:t>
      </w:r>
    </w:p>
    <w:p w14:paraId="4404EE39">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为了应对上海资源环境紧约束的发展瓶颈，本市2013年在全国率先探索建立了“总量锁定、增量递减、存量优化、流量增效、质量提高”的“五量调控”土地节约集约利用政策体系，近年来又先后出台了存量工业用地盘活、低效用地减量化、产业用地高质量利用、城市有机更新等一系列配套政策，取得了一定成效，但距离规划预期目标还有较大差距。</w:t>
      </w:r>
    </w:p>
    <w:p w14:paraId="15527F00">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松江区“十五五”建设用地减量化及一般耕地复垦实施方案旨在破解建设用地减量化实施及耕地复垦实施中存在问题不清、空间不明、实施难的矛盾，通过全域土地综合要素统筹，设定分时段（五年计划）的减量化及耕地复垦的目标，明确减量化及地复垦空间布局，“十五五”期间建设用地减量化及一般耕地复垦的实施。</w:t>
      </w:r>
    </w:p>
    <w:p w14:paraId="651118E7">
      <w:pPr>
        <w:keepNext/>
        <w:keepLines/>
        <w:pageBreakBefore w:val="0"/>
        <w:widowControl/>
        <w:tabs>
          <w:tab w:val="left" w:pos="0"/>
        </w:tabs>
        <w:kinsoku/>
        <w:wordWrap/>
        <w:overflowPunct/>
        <w:topLinePunct w:val="0"/>
        <w:bidi w:val="0"/>
        <w:adjustRightInd w:val="0"/>
        <w:spacing w:line="360" w:lineRule="auto"/>
        <w:jc w:val="both"/>
        <w:textAlignment w:val="baseline"/>
        <w:outlineLvl w:val="0"/>
        <w:rPr>
          <w:rFonts w:hint="eastAsia"/>
          <w:b/>
          <w:bCs/>
          <w:kern w:val="44"/>
          <w:highlight w:val="none"/>
          <w:lang w:val="en-US" w:eastAsia="zh-CN"/>
        </w:rPr>
      </w:pPr>
      <w:r>
        <w:rPr>
          <w:rFonts w:hint="eastAsia"/>
          <w:b/>
          <w:bCs/>
          <w:kern w:val="44"/>
          <w:highlight w:val="none"/>
          <w:lang w:val="en-US" w:eastAsia="zh-CN"/>
        </w:rPr>
        <w:t>三、规划范围</w:t>
      </w:r>
    </w:p>
    <w:p w14:paraId="5BF55106">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总体研究范围：松江区全区约604平方公里。</w:t>
      </w:r>
    </w:p>
    <w:p w14:paraId="6D323DBA">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规划范围：松江区城镇开发边界外约366平方公里。</w:t>
      </w:r>
    </w:p>
    <w:p w14:paraId="3B76EDA6">
      <w:pPr>
        <w:keepNext/>
        <w:keepLines/>
        <w:pageBreakBefore w:val="0"/>
        <w:widowControl/>
        <w:tabs>
          <w:tab w:val="left" w:pos="0"/>
        </w:tabs>
        <w:kinsoku/>
        <w:wordWrap/>
        <w:overflowPunct/>
        <w:topLinePunct w:val="0"/>
        <w:bidi w:val="0"/>
        <w:adjustRightInd w:val="0"/>
        <w:spacing w:line="360" w:lineRule="auto"/>
        <w:jc w:val="both"/>
        <w:textAlignment w:val="baseline"/>
        <w:outlineLvl w:val="0"/>
        <w:rPr>
          <w:rFonts w:hint="default"/>
          <w:b/>
          <w:bCs/>
          <w:kern w:val="44"/>
          <w:highlight w:val="none"/>
          <w:lang w:val="en-US" w:eastAsia="zh-CN"/>
        </w:rPr>
      </w:pPr>
      <w:r>
        <w:rPr>
          <w:rFonts w:hint="eastAsia"/>
          <w:b/>
          <w:bCs/>
          <w:kern w:val="44"/>
          <w:highlight w:val="none"/>
          <w:lang w:val="en-US" w:eastAsia="zh-CN"/>
        </w:rPr>
        <w:t>四、工作内容要求</w:t>
      </w:r>
    </w:p>
    <w:p w14:paraId="5C87D47E">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lang w:val="en-US" w:eastAsia="zh-CN"/>
        </w:rPr>
        <w:t>本项目拟选取一家具有专业能力的供应商，</w:t>
      </w:r>
      <w:r>
        <w:rPr>
          <w:rFonts w:hint="eastAsia"/>
          <w:highlight w:val="none"/>
        </w:rPr>
        <w:t>多维度成效评估围绕经济、空间、政策等核心展开：经济层面，重点核算减量化投入成本与指标价值的投入产出比，梳理相关经济影响及应对效果；空间层面分析减量化项目的分布、面积及验收情况等，整理验收范围内各地类面积及比例（耕地、林地、建设用地等）；政策层面，梳理十四五期间自身政策演进及与上位规划的衔接优化方向，通过与嘉定、青浦等其他新城在政策内容、推进模式、成效指标上的横向对比，明确松江的优势与差距，为“十五五”政策完善和工作推进提供参考。</w:t>
      </w:r>
    </w:p>
    <w:p w14:paraId="61EFC1C9">
      <w:pPr>
        <w:pageBreakBefore w:val="0"/>
        <w:widowControl/>
        <w:kinsoku/>
        <w:wordWrap/>
        <w:overflowPunct/>
        <w:topLinePunct w:val="0"/>
        <w:bidi w:val="0"/>
        <w:spacing w:line="360" w:lineRule="auto"/>
        <w:rPr>
          <w:rFonts w:hint="eastAsia" w:eastAsia="宋体"/>
          <w:highlight w:val="none"/>
          <w:lang w:eastAsia="zh-CN"/>
        </w:rPr>
      </w:pPr>
      <w:r>
        <w:rPr>
          <w:rFonts w:hint="eastAsia"/>
          <w:highlight w:val="none"/>
        </w:rPr>
        <w:t>主要内容框架</w:t>
      </w:r>
      <w:r>
        <w:rPr>
          <w:rFonts w:hint="eastAsia"/>
          <w:highlight w:val="none"/>
          <w:lang w:val="en-US" w:eastAsia="zh-CN"/>
        </w:rPr>
        <w:t>要求</w:t>
      </w:r>
      <w:r>
        <w:rPr>
          <w:rFonts w:hint="eastAsia"/>
          <w:highlight w:val="none"/>
        </w:rPr>
        <w:t>如下：</w:t>
      </w:r>
      <w:r>
        <w:rPr>
          <w:rFonts w:hint="eastAsia"/>
          <w:highlight w:val="none"/>
          <w:lang w:eastAsia="zh-CN"/>
        </w:rPr>
        <w:t>（</w:t>
      </w:r>
      <w:r>
        <w:rPr>
          <w:rFonts w:hint="eastAsia"/>
          <w:highlight w:val="none"/>
          <w:lang w:val="en-US" w:eastAsia="zh-CN"/>
        </w:rPr>
        <w:t>投标人可在次框架内容要求上进行深化</w:t>
      </w:r>
      <w:r>
        <w:rPr>
          <w:rFonts w:hint="eastAsia"/>
          <w:highlight w:val="none"/>
          <w:lang w:eastAsia="zh-CN"/>
        </w:rPr>
        <w:t>）</w:t>
      </w:r>
    </w:p>
    <w:p w14:paraId="40A5E6F9">
      <w:pPr>
        <w:pageBreakBefore w:val="0"/>
        <w:widowControl/>
        <w:kinsoku/>
        <w:wordWrap/>
        <w:overflowPunct/>
        <w:topLinePunct w:val="0"/>
        <w:bidi w:val="0"/>
        <w:spacing w:line="360" w:lineRule="auto"/>
        <w:rPr>
          <w:rFonts w:hint="eastAsia"/>
          <w:highlight w:val="none"/>
        </w:rPr>
      </w:pPr>
      <w:r>
        <w:rPr>
          <w:rFonts w:hint="eastAsia"/>
          <w:highlight w:val="none"/>
        </w:rPr>
        <w:t>1概述</w:t>
      </w:r>
    </w:p>
    <w:p w14:paraId="379AB78C">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1.1 工作背景</w:t>
      </w:r>
    </w:p>
    <w:p w14:paraId="45804E93">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1.2 实施范围</w:t>
      </w:r>
    </w:p>
    <w:p w14:paraId="665339A3">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1.3 技术要点</w:t>
      </w:r>
    </w:p>
    <w:p w14:paraId="21D7130F">
      <w:pPr>
        <w:pageBreakBefore w:val="0"/>
        <w:widowControl/>
        <w:kinsoku/>
        <w:wordWrap/>
        <w:overflowPunct/>
        <w:topLinePunct w:val="0"/>
        <w:bidi w:val="0"/>
        <w:spacing w:line="360" w:lineRule="auto"/>
        <w:rPr>
          <w:rFonts w:hint="eastAsia"/>
          <w:highlight w:val="none"/>
        </w:rPr>
      </w:pPr>
      <w:r>
        <w:rPr>
          <w:rFonts w:hint="eastAsia"/>
          <w:highlight w:val="none"/>
        </w:rPr>
        <w:t>2 松江区建设用地减量化及一般耕地复垦实施评估</w:t>
      </w:r>
    </w:p>
    <w:p w14:paraId="5302EF0E">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2.1  建设用地减量化概况及趋势</w:t>
      </w:r>
    </w:p>
    <w:p w14:paraId="44A3D23E">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2.2  建设用地减量化复垦及一般耕地复垦实施效益</w:t>
      </w:r>
    </w:p>
    <w:p w14:paraId="576FED76">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2.3</w:t>
      </w:r>
      <w:r>
        <w:rPr>
          <w:rFonts w:hint="eastAsia"/>
          <w:highlight w:val="none"/>
          <w:lang w:val="en-US" w:eastAsia="zh-CN"/>
        </w:rPr>
        <w:t xml:space="preserve">  </w:t>
      </w:r>
      <w:r>
        <w:rPr>
          <w:rFonts w:hint="eastAsia"/>
          <w:highlight w:val="none"/>
        </w:rPr>
        <w:t>资金使用拨付情况</w:t>
      </w:r>
    </w:p>
    <w:p w14:paraId="7BF5B376">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2.</w:t>
      </w:r>
      <w:r>
        <w:rPr>
          <w:rFonts w:hint="eastAsia"/>
          <w:highlight w:val="none"/>
          <w:lang w:val="en-US" w:eastAsia="zh-CN"/>
        </w:rPr>
        <w:t>4</w:t>
      </w:r>
      <w:r>
        <w:rPr>
          <w:rFonts w:hint="eastAsia"/>
          <w:highlight w:val="none"/>
        </w:rPr>
        <w:t xml:space="preserve"> </w:t>
      </w:r>
      <w:r>
        <w:rPr>
          <w:rFonts w:hint="eastAsia"/>
          <w:highlight w:val="none"/>
          <w:lang w:val="en-US" w:eastAsia="zh-CN"/>
        </w:rPr>
        <w:t xml:space="preserve"> </w:t>
      </w:r>
      <w:r>
        <w:rPr>
          <w:rFonts w:hint="eastAsia"/>
          <w:highlight w:val="none"/>
        </w:rPr>
        <w:t>已立项待实施项目情况</w:t>
      </w:r>
    </w:p>
    <w:p w14:paraId="1BF2AFC7">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2.5</w:t>
      </w:r>
      <w:r>
        <w:rPr>
          <w:rFonts w:hint="eastAsia"/>
          <w:highlight w:val="none"/>
          <w:lang w:val="en-US" w:eastAsia="zh-CN"/>
        </w:rPr>
        <w:t xml:space="preserve">  </w:t>
      </w:r>
      <w:r>
        <w:rPr>
          <w:rFonts w:hint="eastAsia"/>
          <w:highlight w:val="none"/>
        </w:rPr>
        <w:t>存在的问题</w:t>
      </w:r>
    </w:p>
    <w:p w14:paraId="484E2D26">
      <w:pPr>
        <w:pageBreakBefore w:val="0"/>
        <w:widowControl/>
        <w:kinsoku/>
        <w:wordWrap/>
        <w:overflowPunct/>
        <w:topLinePunct w:val="0"/>
        <w:bidi w:val="0"/>
        <w:spacing w:line="360" w:lineRule="auto"/>
        <w:rPr>
          <w:rFonts w:hint="eastAsia"/>
          <w:highlight w:val="none"/>
        </w:rPr>
      </w:pPr>
      <w:r>
        <w:rPr>
          <w:rFonts w:hint="eastAsia"/>
          <w:highlight w:val="none"/>
        </w:rPr>
        <w:t>3 “十五五”期间发展趋势</w:t>
      </w:r>
    </w:p>
    <w:p w14:paraId="7A26EC0F">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3.1 国土空间规划梳理</w:t>
      </w:r>
    </w:p>
    <w:p w14:paraId="5344FDB3">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3.2</w:t>
      </w:r>
      <w:r>
        <w:rPr>
          <w:rFonts w:hint="eastAsia"/>
          <w:highlight w:val="none"/>
          <w:lang w:val="en-US" w:eastAsia="zh-CN"/>
        </w:rPr>
        <w:t xml:space="preserve"> </w:t>
      </w:r>
      <w:r>
        <w:rPr>
          <w:rFonts w:hint="eastAsia"/>
          <w:highlight w:val="none"/>
        </w:rPr>
        <w:t>新增建设用地指标使用测算</w:t>
      </w:r>
    </w:p>
    <w:p w14:paraId="18C59306">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3.3</w:t>
      </w:r>
      <w:r>
        <w:rPr>
          <w:rFonts w:hint="eastAsia"/>
          <w:highlight w:val="none"/>
          <w:lang w:val="en-US" w:eastAsia="zh-CN"/>
        </w:rPr>
        <w:t xml:space="preserve"> </w:t>
      </w:r>
      <w:r>
        <w:rPr>
          <w:rFonts w:hint="eastAsia"/>
          <w:highlight w:val="none"/>
        </w:rPr>
        <w:t>新增建设用地指标来源测算</w:t>
      </w:r>
    </w:p>
    <w:p w14:paraId="1FC4B14F">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3.</w:t>
      </w:r>
      <w:bookmarkStart w:id="85" w:name="_Hlk211455057"/>
      <w:r>
        <w:rPr>
          <w:rFonts w:hint="eastAsia"/>
          <w:highlight w:val="none"/>
        </w:rPr>
        <w:t>4</w:t>
      </w:r>
      <w:r>
        <w:rPr>
          <w:rFonts w:hint="eastAsia"/>
          <w:highlight w:val="none"/>
          <w:lang w:val="en-US" w:eastAsia="zh-CN"/>
        </w:rPr>
        <w:t xml:space="preserve"> </w:t>
      </w:r>
      <w:r>
        <w:rPr>
          <w:rFonts w:hint="eastAsia"/>
          <w:highlight w:val="none"/>
        </w:rPr>
        <w:t>耕地占补平衡空间</w:t>
      </w:r>
      <w:bookmarkEnd w:id="85"/>
      <w:r>
        <w:rPr>
          <w:rFonts w:hint="eastAsia"/>
          <w:highlight w:val="none"/>
        </w:rPr>
        <w:t>的测算</w:t>
      </w:r>
    </w:p>
    <w:p w14:paraId="11B73F27">
      <w:pPr>
        <w:pageBreakBefore w:val="0"/>
        <w:widowControl/>
        <w:kinsoku/>
        <w:wordWrap/>
        <w:overflowPunct/>
        <w:topLinePunct w:val="0"/>
        <w:bidi w:val="0"/>
        <w:spacing w:line="360" w:lineRule="auto"/>
        <w:rPr>
          <w:rFonts w:hint="eastAsia"/>
          <w:highlight w:val="none"/>
        </w:rPr>
      </w:pPr>
      <w:r>
        <w:rPr>
          <w:rFonts w:hint="eastAsia"/>
          <w:highlight w:val="none"/>
        </w:rPr>
        <w:t>4 “十五五”期间建设用地减量化潜力预测</w:t>
      </w:r>
    </w:p>
    <w:p w14:paraId="3DFE771C">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4.1 建设用地减量化理论潜力空间梳理</w:t>
      </w:r>
    </w:p>
    <w:p w14:paraId="662C52FF">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4.2 街镇意愿调研与任务分解</w:t>
      </w:r>
    </w:p>
    <w:p w14:paraId="4D78FB12">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5建设用地减量化及一般耕地复垦空间布局</w:t>
      </w:r>
    </w:p>
    <w:p w14:paraId="3544B3BD">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5.1 减量化用地布局</w:t>
      </w:r>
    </w:p>
    <w:p w14:paraId="27B0171A">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5.2 实施时序</w:t>
      </w:r>
    </w:p>
    <w:p w14:paraId="29731830">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5.3 一般耕地复垦空间布局引导</w:t>
      </w:r>
    </w:p>
    <w:p w14:paraId="3F73B7D0">
      <w:pPr>
        <w:pageBreakBefore w:val="0"/>
        <w:widowControl/>
        <w:kinsoku/>
        <w:wordWrap/>
        <w:overflowPunct/>
        <w:topLinePunct w:val="0"/>
        <w:bidi w:val="0"/>
        <w:spacing w:line="360" w:lineRule="auto"/>
        <w:rPr>
          <w:rFonts w:hint="eastAsia"/>
          <w:highlight w:val="none"/>
        </w:rPr>
      </w:pPr>
      <w:r>
        <w:rPr>
          <w:rFonts w:hint="eastAsia"/>
          <w:highlight w:val="none"/>
        </w:rPr>
        <w:t>6 实施保障</w:t>
      </w:r>
    </w:p>
    <w:p w14:paraId="4BC80159">
      <w:pPr>
        <w:keepNext/>
        <w:keepLines/>
        <w:pageBreakBefore w:val="0"/>
        <w:widowControl/>
        <w:tabs>
          <w:tab w:val="left" w:pos="0"/>
        </w:tabs>
        <w:kinsoku/>
        <w:wordWrap/>
        <w:overflowPunct/>
        <w:topLinePunct w:val="0"/>
        <w:bidi w:val="0"/>
        <w:adjustRightInd w:val="0"/>
        <w:spacing w:line="360" w:lineRule="auto"/>
        <w:jc w:val="both"/>
        <w:textAlignment w:val="baseline"/>
        <w:outlineLvl w:val="0"/>
        <w:rPr>
          <w:rFonts w:hint="eastAsia"/>
          <w:b/>
          <w:bCs/>
          <w:kern w:val="44"/>
          <w:highlight w:val="none"/>
          <w:lang w:val="en-US" w:eastAsia="zh-CN"/>
        </w:rPr>
      </w:pPr>
      <w:r>
        <w:rPr>
          <w:rFonts w:hint="eastAsia"/>
          <w:b/>
          <w:bCs/>
          <w:kern w:val="44"/>
          <w:highlight w:val="none"/>
          <w:lang w:val="en-US" w:eastAsia="zh-CN"/>
        </w:rPr>
        <w:t>五、时间进度要求</w:t>
      </w:r>
    </w:p>
    <w:p w14:paraId="52E894F6">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lang w:val="en-US" w:eastAsia="zh-CN"/>
        </w:rPr>
        <w:t>本项目需在合同签订后一年内完成</w:t>
      </w:r>
      <w:r>
        <w:rPr>
          <w:rFonts w:hint="eastAsia"/>
          <w:highlight w:val="none"/>
        </w:rPr>
        <w:t>整个研究编制</w:t>
      </w:r>
      <w:r>
        <w:rPr>
          <w:rFonts w:hint="eastAsia"/>
          <w:highlight w:val="none"/>
          <w:lang w:eastAsia="zh-CN"/>
        </w:rPr>
        <w:t>、</w:t>
      </w:r>
      <w:r>
        <w:rPr>
          <w:rFonts w:hint="eastAsia"/>
          <w:highlight w:val="none"/>
        </w:rPr>
        <w:t>成果验收</w:t>
      </w:r>
      <w:r>
        <w:rPr>
          <w:rFonts w:hint="eastAsia"/>
          <w:highlight w:val="none"/>
          <w:lang w:val="en-US" w:eastAsia="zh-CN"/>
        </w:rPr>
        <w:t>等所有工作。</w:t>
      </w:r>
      <w:r>
        <w:rPr>
          <w:rFonts w:hint="eastAsia"/>
          <w:highlight w:val="none"/>
        </w:rPr>
        <w:t>具体</w:t>
      </w:r>
      <w:r>
        <w:rPr>
          <w:rFonts w:hint="eastAsia"/>
          <w:highlight w:val="none"/>
          <w:lang w:val="en-US" w:eastAsia="zh-CN"/>
        </w:rPr>
        <w:t>时间进度要求</w:t>
      </w:r>
      <w:r>
        <w:rPr>
          <w:rFonts w:hint="eastAsia"/>
          <w:highlight w:val="none"/>
        </w:rPr>
        <w:t xml:space="preserve">如下： </w:t>
      </w:r>
    </w:p>
    <w:p w14:paraId="3FA79535">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第一阶段：数据梳理和初步研究（</w:t>
      </w:r>
      <w:r>
        <w:rPr>
          <w:rFonts w:hint="eastAsia"/>
          <w:highlight w:val="none"/>
          <w:lang w:val="en-US" w:eastAsia="zh-CN"/>
        </w:rPr>
        <w:t>合同签订后3个月内完成</w:t>
      </w:r>
      <w:r>
        <w:rPr>
          <w:rFonts w:hint="eastAsia"/>
          <w:highlight w:val="none"/>
        </w:rPr>
        <w:t>）</w:t>
      </w:r>
    </w:p>
    <w:p w14:paraId="1B13E50D">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lang w:val="en-US" w:eastAsia="zh-CN"/>
        </w:rPr>
        <w:t>工作要求：</w:t>
      </w:r>
      <w:r>
        <w:rPr>
          <w:rFonts w:hint="eastAsia"/>
          <w:highlight w:val="none"/>
        </w:rPr>
        <w:t>本阶段聚焦基础数据梳理与初步分析</w:t>
      </w:r>
      <w:r>
        <w:rPr>
          <w:rFonts w:hint="eastAsia"/>
          <w:highlight w:val="none"/>
        </w:rPr>
        <w:t>。全面收集2014-2024年全区及各街镇建设用地减量化立项、验收、未验收等核心数据，建立街镇级时序化台账，同步整理财政资金投入与成效数据；系统梳理松江区2014年以来减量化相关政策文件，衔接上位规划明确政策演进脉络，收集上海其他新城减量化政策及</w:t>
      </w:r>
      <w:r>
        <w:rPr>
          <w:rFonts w:hint="eastAsia"/>
          <w:highlight w:val="none"/>
        </w:rPr>
        <w:t>成效数据开展横向比，形成工作技术路线与初步研究结论。</w:t>
      </w:r>
    </w:p>
    <w:p w14:paraId="6546F28C">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第二阶段：初步方案阶段（</w:t>
      </w:r>
      <w:r>
        <w:rPr>
          <w:rFonts w:hint="eastAsia"/>
          <w:highlight w:val="none"/>
          <w:lang w:val="en-US" w:eastAsia="zh-CN"/>
        </w:rPr>
        <w:t>完成第一阶段工作后4个月内完成</w:t>
      </w:r>
      <w:r>
        <w:rPr>
          <w:rFonts w:hint="eastAsia"/>
          <w:highlight w:val="none"/>
        </w:rPr>
        <w:t>）</w:t>
      </w:r>
    </w:p>
    <w:p w14:paraId="6DD3C1FE">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lang w:val="en-US" w:eastAsia="zh-CN"/>
        </w:rPr>
        <w:t>工作要求：</w:t>
      </w:r>
      <w:r>
        <w:rPr>
          <w:rFonts w:hint="eastAsia"/>
          <w:highlight w:val="none"/>
        </w:rPr>
        <w:t>在第一阶段数据基础上，推进需求测算、潜力分析与初步方案。结合土地储备计划与“十五五”发展诉求，测算新增建设用地总需求及年均需求，倒推减量化新增立项目标，充分了解街镇立项意愿、实施难点及政策诉求，结合“减量化潜力、新增建设用地需求、可开发空间”三大因子，初步完成街镇任务分解；同步完善政策评估结论，吸收横向对比借鉴经验，制定差异化实施指引框架，整合形成初步方案，</w:t>
      </w:r>
      <w:r>
        <w:rPr>
          <w:rFonts w:hint="eastAsia"/>
          <w:highlight w:val="none"/>
          <w:lang w:val="en-US" w:eastAsia="zh-CN"/>
        </w:rPr>
        <w:t>提交至招标人处，</w:t>
      </w:r>
      <w:r>
        <w:rPr>
          <w:rFonts w:hint="eastAsia"/>
          <w:highlight w:val="none"/>
        </w:rPr>
        <w:t>并征求相关部门及街镇初步意见。</w:t>
      </w:r>
    </w:p>
    <w:p w14:paraId="6FC62502">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rPr>
        <w:t>第三阶段：成果深化与成果编制阶段（</w:t>
      </w:r>
      <w:r>
        <w:rPr>
          <w:rFonts w:hint="eastAsia"/>
          <w:highlight w:val="none"/>
          <w:lang w:val="en-US" w:eastAsia="zh-CN"/>
        </w:rPr>
        <w:t>完成第二阶段工作后5个月内完成</w:t>
      </w:r>
      <w:r>
        <w:rPr>
          <w:rFonts w:hint="eastAsia"/>
          <w:highlight w:val="none"/>
        </w:rPr>
        <w:t>）</w:t>
      </w:r>
    </w:p>
    <w:p w14:paraId="1F86A1C2">
      <w:pPr>
        <w:pageBreakBefore w:val="0"/>
        <w:widowControl/>
        <w:kinsoku/>
        <w:wordWrap/>
        <w:overflowPunct/>
        <w:topLinePunct w:val="0"/>
        <w:bidi w:val="0"/>
        <w:spacing w:line="360" w:lineRule="auto"/>
        <w:ind w:firstLine="480" w:firstLineChars="200"/>
        <w:rPr>
          <w:rFonts w:hint="eastAsia"/>
          <w:highlight w:val="none"/>
        </w:rPr>
      </w:pPr>
      <w:r>
        <w:rPr>
          <w:rFonts w:hint="eastAsia"/>
          <w:highlight w:val="none"/>
          <w:lang w:val="en-US" w:eastAsia="zh-CN"/>
        </w:rPr>
        <w:t>工作要求：</w:t>
      </w:r>
      <w:r>
        <w:rPr>
          <w:rFonts w:hint="eastAsia"/>
          <w:highlight w:val="none"/>
        </w:rPr>
        <w:t>编制松江区“十五五”建设用地减量化及一般耕地复垦实施方案正式成果，配套形成成果文本、成果图件、GIS数据库等全套资料；组织专家评审与部门联审，根据评审意见进一步修改完善，最终形成合规、科学、可操作的成果体系，为“十五五”期间减量化工作提供全面指导。</w:t>
      </w:r>
    </w:p>
    <w:p w14:paraId="6F52D287">
      <w:pPr>
        <w:spacing w:line="360" w:lineRule="auto"/>
        <w:rPr>
          <w:rFonts w:ascii="宋体" w:hAnsi="宋体" w:cs="宋体"/>
          <w:b/>
          <w:bCs/>
          <w:color w:val="auto"/>
          <w:sz w:val="24"/>
          <w:highlight w:val="none"/>
        </w:rPr>
      </w:pPr>
      <w:r>
        <w:rPr>
          <w:rFonts w:hint="eastAsia" w:cs="宋体"/>
          <w:b/>
          <w:bCs/>
          <w:color w:val="auto"/>
          <w:sz w:val="24"/>
          <w:highlight w:val="none"/>
          <w:lang w:val="en-US" w:eastAsia="zh-CN"/>
        </w:rPr>
        <w:t>六</w:t>
      </w:r>
      <w:r>
        <w:rPr>
          <w:rFonts w:hint="eastAsia" w:ascii="宋体" w:hAnsi="宋体" w:cs="宋体"/>
          <w:b/>
          <w:bCs/>
          <w:color w:val="auto"/>
          <w:sz w:val="24"/>
          <w:highlight w:val="none"/>
        </w:rPr>
        <w:t>、其他要求</w:t>
      </w:r>
    </w:p>
    <w:p w14:paraId="34C8A936">
      <w:pPr>
        <w:tabs>
          <w:tab w:val="right" w:pos="8306"/>
        </w:tabs>
        <w:spacing w:line="360" w:lineRule="auto"/>
        <w:rPr>
          <w:rFonts w:hint="eastAsia" w:ascii="宋体" w:hAnsi="宋体" w:cs="宋体"/>
          <w:sz w:val="24"/>
          <w:highlight w:val="none"/>
        </w:rPr>
      </w:pPr>
      <w:r>
        <w:rPr>
          <w:rFonts w:hint="eastAsia" w:cs="宋体"/>
          <w:sz w:val="24"/>
          <w:highlight w:val="none"/>
          <w:lang w:val="en-US" w:eastAsia="zh-CN"/>
        </w:rPr>
        <w:t>1</w:t>
      </w:r>
      <w:r>
        <w:rPr>
          <w:rFonts w:hint="eastAsia" w:ascii="宋体" w:hAnsi="宋体" w:cs="宋体"/>
          <w:sz w:val="24"/>
          <w:highlight w:val="none"/>
        </w:rPr>
        <w:t>、该项目需配备足够的专业人员，本项目负责人须为该中标单位在职人员，具备高级或以上相关专业技术职称或具有注册规划师或注册建筑师等相关执业资格，并具有相关专业经验</w:t>
      </w:r>
      <w:r>
        <w:rPr>
          <w:rFonts w:hint="eastAsia" w:cs="宋体"/>
          <w:sz w:val="24"/>
          <w:highlight w:val="none"/>
          <w:lang w:eastAsia="zh-CN"/>
        </w:rPr>
        <w:t>，</w:t>
      </w:r>
      <w:r>
        <w:rPr>
          <w:rFonts w:hint="eastAsia" w:ascii="宋体" w:hAnsi="宋体" w:cs="宋体"/>
          <w:sz w:val="24"/>
          <w:highlight w:val="none"/>
        </w:rPr>
        <w:t>且在本单位缴纳社保；拟投入本项目的服务团队人员应当配置合理，人员有具体的分工，拟派人员宜具有相关类似经验；</w:t>
      </w:r>
    </w:p>
    <w:p w14:paraId="73346E5A">
      <w:pPr>
        <w:tabs>
          <w:tab w:val="right" w:pos="8306"/>
        </w:tabs>
        <w:spacing w:line="360" w:lineRule="auto"/>
        <w:rPr>
          <w:rFonts w:hint="eastAsia" w:ascii="宋体" w:hAnsi="宋体" w:cs="宋体"/>
          <w:sz w:val="24"/>
          <w:highlight w:val="none"/>
        </w:rPr>
      </w:pPr>
      <w:r>
        <w:rPr>
          <w:rFonts w:hint="eastAsia" w:ascii="宋体" w:hAnsi="宋体" w:cs="宋体"/>
          <w:sz w:val="24"/>
          <w:highlight w:val="none"/>
        </w:rPr>
        <w:t>2、验收、成果统计方法：釆用釆购方认可方式验收，由釆购方出具技术咨询验收证明。</w:t>
      </w:r>
    </w:p>
    <w:p w14:paraId="390EBD5C">
      <w:pPr>
        <w:tabs>
          <w:tab w:val="right" w:pos="8306"/>
        </w:tabs>
        <w:spacing w:line="360" w:lineRule="auto"/>
        <w:rPr>
          <w:rFonts w:hint="eastAsia" w:ascii="宋体" w:hAnsi="宋体" w:cs="宋体"/>
          <w:sz w:val="24"/>
          <w:highlight w:val="none"/>
        </w:rPr>
      </w:pPr>
      <w:r>
        <w:rPr>
          <w:rFonts w:hint="eastAsia" w:ascii="宋体" w:hAnsi="宋体" w:cs="宋体"/>
          <w:sz w:val="24"/>
          <w:highlight w:val="none"/>
        </w:rPr>
        <w:t>3、技术情报和资料的保密：除釆购方另有要求，项目调查成果仅向釆购方提供。</w:t>
      </w:r>
    </w:p>
    <w:p w14:paraId="6A409D18">
      <w:pPr>
        <w:tabs>
          <w:tab w:val="right" w:pos="8306"/>
        </w:tabs>
        <w:spacing w:line="360" w:lineRule="auto"/>
        <w:rPr>
          <w:rFonts w:hint="eastAsia" w:ascii="宋体" w:hAnsi="宋体" w:cs="宋体"/>
          <w:sz w:val="24"/>
          <w:highlight w:val="none"/>
        </w:rPr>
      </w:pPr>
      <w:r>
        <w:rPr>
          <w:rFonts w:hint="eastAsia" w:cs="宋体"/>
          <w:sz w:val="24"/>
          <w:highlight w:val="none"/>
          <w:lang w:val="en-US" w:eastAsia="zh-CN"/>
        </w:rPr>
        <w:t>4</w:t>
      </w:r>
      <w:r>
        <w:rPr>
          <w:rFonts w:hint="eastAsia" w:ascii="宋体" w:hAnsi="宋体" w:cs="宋体"/>
          <w:sz w:val="24"/>
          <w:highlight w:val="none"/>
        </w:rPr>
        <w:t>、投标人应当具有相应的售后服务点，并制定针对本项目的售后服务方案（售后服务方案宜包含服务响应时间、服务体系及技术力量支撑）；并制定针对本项目的服务承诺或方案，可包括项目人员安排、项目进度计划、项目质量控制、安全保障及相应的自罚措施</w:t>
      </w:r>
    </w:p>
    <w:p w14:paraId="3A10374F">
      <w:pPr>
        <w:spacing w:line="360" w:lineRule="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七、商务要求</w:t>
      </w:r>
    </w:p>
    <w:tbl>
      <w:tblPr>
        <w:tblStyle w:val="37"/>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983"/>
        <w:gridCol w:w="6941"/>
      </w:tblGrid>
      <w:tr w14:paraId="3674C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97" w:hRule="atLeast"/>
        </w:trPr>
        <w:tc>
          <w:tcPr>
            <w:tcW w:w="1983" w:type="dxa"/>
            <w:tcBorders>
              <w:top w:val="single" w:color="auto" w:sz="12" w:space="0"/>
              <w:left w:val="single" w:color="auto" w:sz="12" w:space="0"/>
              <w:bottom w:val="single" w:color="auto" w:sz="4" w:space="0"/>
              <w:right w:val="single" w:color="auto" w:sz="4" w:space="0"/>
            </w:tcBorders>
            <w:vAlign w:val="center"/>
          </w:tcPr>
          <w:p w14:paraId="2E01145B">
            <w:pPr>
              <w:spacing w:line="360" w:lineRule="auto"/>
              <w:rPr>
                <w:rFonts w:hint="eastAsia"/>
                <w:highlight w:val="none"/>
              </w:rPr>
            </w:pPr>
            <w:r>
              <w:rPr>
                <w:rFonts w:hint="eastAsia"/>
                <w:highlight w:val="none"/>
              </w:rPr>
              <w:t>类别</w:t>
            </w:r>
          </w:p>
        </w:tc>
        <w:tc>
          <w:tcPr>
            <w:tcW w:w="6941" w:type="dxa"/>
            <w:tcBorders>
              <w:top w:val="single" w:color="auto" w:sz="12" w:space="0"/>
              <w:left w:val="single" w:color="auto" w:sz="4" w:space="0"/>
              <w:bottom w:val="single" w:color="auto" w:sz="4" w:space="0"/>
              <w:right w:val="single" w:color="auto" w:sz="12" w:space="0"/>
            </w:tcBorders>
            <w:vAlign w:val="center"/>
          </w:tcPr>
          <w:p w14:paraId="25007812">
            <w:pPr>
              <w:spacing w:line="360" w:lineRule="auto"/>
              <w:rPr>
                <w:rFonts w:hint="eastAsia"/>
                <w:highlight w:val="none"/>
              </w:rPr>
            </w:pPr>
            <w:r>
              <w:rPr>
                <w:rFonts w:hint="eastAsia"/>
                <w:highlight w:val="none"/>
              </w:rPr>
              <w:t>要求</w:t>
            </w:r>
          </w:p>
        </w:tc>
      </w:tr>
      <w:tr w14:paraId="4486FE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97" w:hRule="atLeast"/>
        </w:trPr>
        <w:tc>
          <w:tcPr>
            <w:tcW w:w="1983" w:type="dxa"/>
            <w:tcBorders>
              <w:top w:val="single" w:color="auto" w:sz="4" w:space="0"/>
              <w:left w:val="single" w:color="auto" w:sz="12" w:space="0"/>
              <w:bottom w:val="single" w:color="auto" w:sz="4" w:space="0"/>
              <w:right w:val="single" w:color="auto" w:sz="4" w:space="0"/>
            </w:tcBorders>
            <w:vAlign w:val="center"/>
          </w:tcPr>
          <w:p w14:paraId="19C147EA">
            <w:pPr>
              <w:spacing w:line="360" w:lineRule="auto"/>
              <w:rPr>
                <w:rFonts w:hint="eastAsia"/>
                <w:highlight w:val="none"/>
              </w:rPr>
            </w:pPr>
            <w:r>
              <w:rPr>
                <w:rFonts w:hint="eastAsia"/>
                <w:highlight w:val="none"/>
              </w:rPr>
              <w:t>报价有效期</w:t>
            </w:r>
          </w:p>
        </w:tc>
        <w:tc>
          <w:tcPr>
            <w:tcW w:w="6941" w:type="dxa"/>
            <w:tcBorders>
              <w:top w:val="single" w:color="auto" w:sz="4" w:space="0"/>
              <w:left w:val="single" w:color="auto" w:sz="4" w:space="0"/>
              <w:bottom w:val="single" w:color="auto" w:sz="4" w:space="0"/>
              <w:right w:val="single" w:color="auto" w:sz="12" w:space="0"/>
            </w:tcBorders>
            <w:vAlign w:val="center"/>
          </w:tcPr>
          <w:p w14:paraId="59278EB8">
            <w:pPr>
              <w:spacing w:line="360" w:lineRule="auto"/>
              <w:rPr>
                <w:rFonts w:hint="eastAsia"/>
                <w:highlight w:val="none"/>
              </w:rPr>
            </w:pPr>
            <w:r>
              <w:rPr>
                <w:rFonts w:hint="eastAsia"/>
                <w:highlight w:val="none"/>
              </w:rPr>
              <w:t>开标后90天</w:t>
            </w:r>
          </w:p>
        </w:tc>
      </w:tr>
      <w:tr w14:paraId="17EA1D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97" w:hRule="atLeast"/>
        </w:trPr>
        <w:tc>
          <w:tcPr>
            <w:tcW w:w="1983" w:type="dxa"/>
            <w:tcBorders>
              <w:top w:val="single" w:color="auto" w:sz="4" w:space="0"/>
              <w:left w:val="single" w:color="auto" w:sz="12" w:space="0"/>
              <w:bottom w:val="single" w:color="auto" w:sz="4" w:space="0"/>
              <w:right w:val="single" w:color="auto" w:sz="4" w:space="0"/>
            </w:tcBorders>
            <w:vAlign w:val="center"/>
          </w:tcPr>
          <w:p w14:paraId="3D372171">
            <w:pPr>
              <w:spacing w:line="360" w:lineRule="auto"/>
              <w:rPr>
                <w:rFonts w:hint="eastAsia"/>
                <w:highlight w:val="none"/>
              </w:rPr>
            </w:pPr>
            <w:r>
              <w:rPr>
                <w:rFonts w:hint="eastAsia"/>
                <w:highlight w:val="none"/>
              </w:rPr>
              <w:t>服务期限</w:t>
            </w:r>
          </w:p>
        </w:tc>
        <w:tc>
          <w:tcPr>
            <w:tcW w:w="6941" w:type="dxa"/>
            <w:tcBorders>
              <w:top w:val="single" w:color="auto" w:sz="4" w:space="0"/>
              <w:left w:val="single" w:color="auto" w:sz="4" w:space="0"/>
              <w:bottom w:val="single" w:color="auto" w:sz="4" w:space="0"/>
              <w:right w:val="single" w:color="auto" w:sz="12" w:space="0"/>
            </w:tcBorders>
            <w:vAlign w:val="center"/>
          </w:tcPr>
          <w:p w14:paraId="0C34A3B7">
            <w:pPr>
              <w:spacing w:line="360" w:lineRule="auto"/>
              <w:rPr>
                <w:rFonts w:hint="eastAsia"/>
                <w:highlight w:val="none"/>
              </w:rPr>
            </w:pPr>
            <w:r>
              <w:rPr>
                <w:rFonts w:hint="eastAsia"/>
                <w:highlight w:val="none"/>
                <w:lang w:eastAsia="zh-CN"/>
              </w:rPr>
              <w:t>合同签订后一年内提交最终成果</w:t>
            </w:r>
            <w:r>
              <w:rPr>
                <w:rFonts w:hint="eastAsia"/>
                <w:highlight w:val="none"/>
              </w:rPr>
              <w:t>。</w:t>
            </w:r>
          </w:p>
        </w:tc>
      </w:tr>
      <w:tr w14:paraId="6A021C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97" w:hRule="atLeast"/>
        </w:trPr>
        <w:tc>
          <w:tcPr>
            <w:tcW w:w="1983" w:type="dxa"/>
            <w:tcBorders>
              <w:top w:val="single" w:color="auto" w:sz="4" w:space="0"/>
              <w:left w:val="single" w:color="auto" w:sz="12" w:space="0"/>
              <w:bottom w:val="single" w:color="auto" w:sz="4" w:space="0"/>
              <w:right w:val="single" w:color="auto" w:sz="4" w:space="0"/>
            </w:tcBorders>
            <w:vAlign w:val="center"/>
          </w:tcPr>
          <w:p w14:paraId="264B2081">
            <w:pPr>
              <w:spacing w:line="360" w:lineRule="auto"/>
              <w:rPr>
                <w:rFonts w:hint="eastAsia"/>
                <w:highlight w:val="none"/>
              </w:rPr>
            </w:pPr>
            <w:r>
              <w:rPr>
                <w:rFonts w:hint="eastAsia"/>
                <w:highlight w:val="none"/>
              </w:rPr>
              <w:t>交货地点</w:t>
            </w:r>
          </w:p>
        </w:tc>
        <w:tc>
          <w:tcPr>
            <w:tcW w:w="6941" w:type="dxa"/>
            <w:tcBorders>
              <w:top w:val="single" w:color="auto" w:sz="4" w:space="0"/>
              <w:left w:val="single" w:color="auto" w:sz="4" w:space="0"/>
              <w:bottom w:val="single" w:color="auto" w:sz="4" w:space="0"/>
              <w:right w:val="single" w:color="auto" w:sz="12" w:space="0"/>
            </w:tcBorders>
            <w:vAlign w:val="center"/>
          </w:tcPr>
          <w:p w14:paraId="0BC6969E">
            <w:pPr>
              <w:spacing w:line="360" w:lineRule="auto"/>
              <w:rPr>
                <w:rFonts w:hint="eastAsia"/>
                <w:highlight w:val="none"/>
              </w:rPr>
            </w:pPr>
            <w:r>
              <w:rPr>
                <w:rFonts w:hint="eastAsia"/>
                <w:highlight w:val="none"/>
              </w:rPr>
              <w:t>采购人指定地点</w:t>
            </w:r>
          </w:p>
        </w:tc>
      </w:tr>
      <w:tr w14:paraId="784296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720" w:hRule="atLeast"/>
        </w:trPr>
        <w:tc>
          <w:tcPr>
            <w:tcW w:w="1983" w:type="dxa"/>
            <w:tcBorders>
              <w:top w:val="single" w:color="auto" w:sz="4" w:space="0"/>
              <w:left w:val="single" w:color="auto" w:sz="12" w:space="0"/>
              <w:bottom w:val="single" w:color="auto" w:sz="4" w:space="0"/>
              <w:right w:val="single" w:color="auto" w:sz="4" w:space="0"/>
            </w:tcBorders>
            <w:vAlign w:val="center"/>
          </w:tcPr>
          <w:p w14:paraId="6804796E">
            <w:pPr>
              <w:spacing w:line="360" w:lineRule="auto"/>
              <w:rPr>
                <w:rFonts w:hint="eastAsia"/>
                <w:highlight w:val="none"/>
              </w:rPr>
            </w:pPr>
            <w:r>
              <w:rPr>
                <w:rFonts w:hint="eastAsia"/>
                <w:highlight w:val="none"/>
              </w:rPr>
              <w:t>付款方式</w:t>
            </w:r>
          </w:p>
        </w:tc>
        <w:tc>
          <w:tcPr>
            <w:tcW w:w="6941" w:type="dxa"/>
            <w:tcBorders>
              <w:top w:val="single" w:color="auto" w:sz="4" w:space="0"/>
              <w:left w:val="single" w:color="auto" w:sz="4" w:space="0"/>
              <w:bottom w:val="single" w:color="auto" w:sz="4" w:space="0"/>
              <w:right w:val="single" w:color="auto" w:sz="12" w:space="0"/>
            </w:tcBorders>
            <w:vAlign w:val="center"/>
          </w:tcPr>
          <w:p w14:paraId="476C0EB7">
            <w:pPr>
              <w:adjustRightInd w:val="0"/>
              <w:spacing w:line="360" w:lineRule="auto"/>
              <w:textAlignment w:val="baseline"/>
              <w:rPr>
                <w:rFonts w:hint="eastAsia"/>
                <w:highlight w:val="none"/>
              </w:rPr>
            </w:pPr>
            <w:r>
              <w:rPr>
                <w:rFonts w:hint="eastAsia"/>
                <w:highlight w:val="none"/>
                <w:lang w:eastAsia="zh-CN"/>
              </w:rPr>
              <w:t>合同签订、乙方提交初步方案后甲方支付合同金额的40%；乙方提交最终成果并通过甲方验收后，甲方支付剩余服务费用</w:t>
            </w:r>
            <w:r>
              <w:rPr>
                <w:rFonts w:hint="eastAsia"/>
                <w:highlight w:val="none"/>
              </w:rPr>
              <w:t>。</w:t>
            </w:r>
          </w:p>
        </w:tc>
      </w:tr>
      <w:tr w14:paraId="7C401B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97" w:hRule="atLeast"/>
        </w:trPr>
        <w:tc>
          <w:tcPr>
            <w:tcW w:w="1983" w:type="dxa"/>
            <w:tcBorders>
              <w:top w:val="single" w:color="auto" w:sz="4" w:space="0"/>
              <w:left w:val="single" w:color="auto" w:sz="12" w:space="0"/>
              <w:bottom w:val="single" w:color="auto" w:sz="4" w:space="0"/>
              <w:right w:val="single" w:color="auto" w:sz="4" w:space="0"/>
            </w:tcBorders>
            <w:vAlign w:val="center"/>
          </w:tcPr>
          <w:p w14:paraId="52A1A8F1">
            <w:pPr>
              <w:spacing w:line="360" w:lineRule="auto"/>
              <w:rPr>
                <w:rFonts w:hint="eastAsia"/>
                <w:highlight w:val="none"/>
              </w:rPr>
            </w:pPr>
            <w:r>
              <w:rPr>
                <w:rFonts w:hint="eastAsia"/>
                <w:highlight w:val="none"/>
              </w:rPr>
              <w:t>履约保证金</w:t>
            </w:r>
          </w:p>
        </w:tc>
        <w:tc>
          <w:tcPr>
            <w:tcW w:w="6941" w:type="dxa"/>
            <w:tcBorders>
              <w:top w:val="single" w:color="auto" w:sz="4" w:space="0"/>
              <w:left w:val="single" w:color="auto" w:sz="4" w:space="0"/>
              <w:bottom w:val="single" w:color="auto" w:sz="4" w:space="0"/>
              <w:right w:val="single" w:color="auto" w:sz="12" w:space="0"/>
            </w:tcBorders>
            <w:vAlign w:val="center"/>
          </w:tcPr>
          <w:p w14:paraId="32C327E6">
            <w:pPr>
              <w:spacing w:line="360" w:lineRule="auto"/>
              <w:rPr>
                <w:rFonts w:hint="eastAsia"/>
                <w:highlight w:val="none"/>
              </w:rPr>
            </w:pPr>
            <w:r>
              <w:rPr>
                <w:rFonts w:hint="eastAsia"/>
                <w:highlight w:val="none"/>
              </w:rPr>
              <w:t>本项目不收取</w:t>
            </w:r>
          </w:p>
        </w:tc>
      </w:tr>
      <w:tr w14:paraId="3EB20C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97" w:hRule="atLeast"/>
        </w:trPr>
        <w:tc>
          <w:tcPr>
            <w:tcW w:w="1983" w:type="dxa"/>
            <w:tcBorders>
              <w:top w:val="single" w:color="auto" w:sz="4" w:space="0"/>
              <w:left w:val="single" w:color="auto" w:sz="12" w:space="0"/>
              <w:bottom w:val="single" w:color="auto" w:sz="4" w:space="0"/>
              <w:right w:val="single" w:color="auto" w:sz="4" w:space="0"/>
            </w:tcBorders>
            <w:vAlign w:val="center"/>
          </w:tcPr>
          <w:p w14:paraId="70B61682">
            <w:pPr>
              <w:spacing w:line="360" w:lineRule="auto"/>
              <w:rPr>
                <w:rFonts w:hint="eastAsia"/>
                <w:highlight w:val="none"/>
              </w:rPr>
            </w:pPr>
            <w:r>
              <w:rPr>
                <w:rFonts w:hint="eastAsia"/>
                <w:highlight w:val="none"/>
              </w:rPr>
              <w:t>质量保证金</w:t>
            </w:r>
          </w:p>
        </w:tc>
        <w:tc>
          <w:tcPr>
            <w:tcW w:w="6941" w:type="dxa"/>
            <w:tcBorders>
              <w:top w:val="single" w:color="auto" w:sz="4" w:space="0"/>
              <w:left w:val="single" w:color="auto" w:sz="4" w:space="0"/>
              <w:bottom w:val="single" w:color="auto" w:sz="4" w:space="0"/>
              <w:right w:val="single" w:color="auto" w:sz="12" w:space="0"/>
            </w:tcBorders>
            <w:vAlign w:val="center"/>
          </w:tcPr>
          <w:p w14:paraId="0D4A7D70">
            <w:pPr>
              <w:spacing w:line="360" w:lineRule="auto"/>
              <w:rPr>
                <w:rFonts w:hint="eastAsia"/>
                <w:highlight w:val="none"/>
              </w:rPr>
            </w:pPr>
            <w:r>
              <w:rPr>
                <w:rFonts w:hint="eastAsia"/>
                <w:highlight w:val="none"/>
              </w:rPr>
              <w:t>本项目不收取</w:t>
            </w:r>
          </w:p>
        </w:tc>
      </w:tr>
      <w:tr w14:paraId="0FA57A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97" w:hRule="atLeast"/>
        </w:trPr>
        <w:tc>
          <w:tcPr>
            <w:tcW w:w="1983" w:type="dxa"/>
            <w:tcBorders>
              <w:top w:val="single" w:color="auto" w:sz="4" w:space="0"/>
              <w:left w:val="single" w:color="auto" w:sz="12" w:space="0"/>
              <w:bottom w:val="single" w:color="auto" w:sz="4" w:space="0"/>
              <w:right w:val="single" w:color="auto" w:sz="4" w:space="0"/>
            </w:tcBorders>
            <w:vAlign w:val="center"/>
          </w:tcPr>
          <w:p w14:paraId="52CFEE5D">
            <w:pPr>
              <w:spacing w:line="360" w:lineRule="auto"/>
              <w:rPr>
                <w:rFonts w:hint="eastAsia"/>
                <w:highlight w:val="none"/>
              </w:rPr>
            </w:pPr>
            <w:r>
              <w:rPr>
                <w:rFonts w:hint="eastAsia"/>
                <w:highlight w:val="none"/>
                <w:lang w:bidi="ar"/>
              </w:rPr>
              <w:t>投标保证金</w:t>
            </w:r>
          </w:p>
        </w:tc>
        <w:tc>
          <w:tcPr>
            <w:tcW w:w="6941" w:type="dxa"/>
            <w:tcBorders>
              <w:top w:val="single" w:color="auto" w:sz="4" w:space="0"/>
              <w:left w:val="single" w:color="auto" w:sz="4" w:space="0"/>
              <w:bottom w:val="single" w:color="auto" w:sz="4" w:space="0"/>
              <w:right w:val="single" w:color="auto" w:sz="12" w:space="0"/>
            </w:tcBorders>
            <w:vAlign w:val="center"/>
          </w:tcPr>
          <w:p w14:paraId="14367AFF">
            <w:pPr>
              <w:spacing w:line="360" w:lineRule="auto"/>
              <w:rPr>
                <w:rFonts w:hint="eastAsia"/>
                <w:highlight w:val="none"/>
              </w:rPr>
            </w:pPr>
            <w:r>
              <w:rPr>
                <w:rFonts w:hint="eastAsia"/>
                <w:highlight w:val="none"/>
                <w:lang w:bidi="ar"/>
              </w:rPr>
              <w:t>本项目不收取</w:t>
            </w:r>
          </w:p>
        </w:tc>
      </w:tr>
      <w:tr w14:paraId="37B78E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97" w:hRule="atLeast"/>
        </w:trPr>
        <w:tc>
          <w:tcPr>
            <w:tcW w:w="1983" w:type="dxa"/>
            <w:tcBorders>
              <w:top w:val="single" w:color="auto" w:sz="4" w:space="0"/>
              <w:left w:val="single" w:color="auto" w:sz="12" w:space="0"/>
              <w:bottom w:val="single" w:color="auto" w:sz="4" w:space="0"/>
              <w:right w:val="single" w:color="auto" w:sz="4" w:space="0"/>
            </w:tcBorders>
            <w:vAlign w:val="center"/>
          </w:tcPr>
          <w:p w14:paraId="0B7014F6">
            <w:pPr>
              <w:spacing w:line="360" w:lineRule="auto"/>
              <w:rPr>
                <w:rFonts w:hint="eastAsia"/>
                <w:highlight w:val="none"/>
              </w:rPr>
            </w:pPr>
            <w:r>
              <w:rPr>
                <w:rFonts w:hint="eastAsia"/>
                <w:highlight w:val="none"/>
              </w:rPr>
              <w:t>转让与分包</w:t>
            </w:r>
          </w:p>
        </w:tc>
        <w:tc>
          <w:tcPr>
            <w:tcW w:w="6941" w:type="dxa"/>
            <w:tcBorders>
              <w:top w:val="single" w:color="auto" w:sz="4" w:space="0"/>
              <w:left w:val="single" w:color="auto" w:sz="4" w:space="0"/>
              <w:bottom w:val="single" w:color="auto" w:sz="4" w:space="0"/>
              <w:right w:val="single" w:color="auto" w:sz="12" w:space="0"/>
            </w:tcBorders>
            <w:vAlign w:val="center"/>
          </w:tcPr>
          <w:p w14:paraId="4AF18B56">
            <w:pPr>
              <w:spacing w:line="360" w:lineRule="auto"/>
              <w:rPr>
                <w:rFonts w:hint="eastAsia"/>
                <w:highlight w:val="none"/>
              </w:rPr>
            </w:pPr>
            <w:r>
              <w:rPr>
                <w:rFonts w:hint="eastAsia"/>
                <w:highlight w:val="none"/>
                <w:lang w:bidi="ar"/>
              </w:rPr>
              <w:t>中标单位不得转让，不得将主体的采购内容分包</w:t>
            </w:r>
          </w:p>
        </w:tc>
      </w:tr>
    </w:tbl>
    <w:p w14:paraId="462D1B86">
      <w:pPr>
        <w:spacing w:line="360" w:lineRule="auto"/>
        <w:rPr>
          <w:rFonts w:hint="eastAsia"/>
          <w:highlight w:val="none"/>
        </w:rPr>
      </w:pPr>
    </w:p>
    <w:p w14:paraId="4E0CE0F9">
      <w:pPr>
        <w:pStyle w:val="45"/>
        <w:spacing w:line="360" w:lineRule="auto"/>
        <w:ind w:firstLine="480"/>
        <w:rPr>
          <w:rFonts w:hint="eastAsia"/>
          <w:highlight w:val="none"/>
        </w:rPr>
      </w:pPr>
    </w:p>
    <w:p w14:paraId="5F1F82A7">
      <w:pPr>
        <w:pStyle w:val="45"/>
        <w:spacing w:line="360" w:lineRule="auto"/>
        <w:ind w:firstLine="480"/>
        <w:rPr>
          <w:rFonts w:hint="eastAsia"/>
          <w:highlight w:val="none"/>
        </w:rPr>
      </w:pPr>
    </w:p>
    <w:p w14:paraId="56E42479">
      <w:pPr>
        <w:pStyle w:val="10"/>
        <w:ind w:left="480"/>
        <w:rPr>
          <w:rFonts w:hint="eastAsia"/>
          <w:highlight w:val="none"/>
        </w:rPr>
      </w:pPr>
    </w:p>
    <w:p w14:paraId="09580DB4">
      <w:pPr>
        <w:pStyle w:val="21"/>
        <w:spacing w:line="360" w:lineRule="auto"/>
        <w:ind w:firstLine="0"/>
        <w:rPr>
          <w:rFonts w:hint="eastAsia" w:ascii="Times New Roman"/>
          <w:szCs w:val="24"/>
          <w:highlight w:val="none"/>
        </w:rPr>
      </w:pPr>
    </w:p>
    <w:p w14:paraId="12125A68">
      <w:pPr>
        <w:spacing w:line="360" w:lineRule="auto"/>
        <w:rPr>
          <w:rFonts w:hint="eastAsia"/>
          <w:highlight w:val="none"/>
        </w:rPr>
      </w:pPr>
      <w:r>
        <w:rPr>
          <w:rFonts w:hint="eastAsia"/>
          <w:highlight w:val="none"/>
        </w:rPr>
        <w:br w:type="page"/>
      </w:r>
    </w:p>
    <w:p w14:paraId="6522FB1B">
      <w:pPr>
        <w:spacing w:line="360" w:lineRule="auto"/>
        <w:jc w:val="center"/>
        <w:outlineLvl w:val="0"/>
        <w:rPr>
          <w:rFonts w:hint="eastAsia"/>
          <w:highlight w:val="none"/>
        </w:rPr>
      </w:pPr>
      <w:bookmarkStart w:id="86" w:name="_Toc6669"/>
      <w:bookmarkStart w:id="87" w:name="_Toc72335522"/>
      <w:r>
        <w:rPr>
          <w:rFonts w:hint="eastAsia"/>
          <w:sz w:val="40"/>
          <w:highlight w:val="none"/>
        </w:rPr>
        <w:t>第四部分  磋商程序和评审方法、标准</w:t>
      </w:r>
      <w:bookmarkEnd w:id="84"/>
      <w:bookmarkEnd w:id="86"/>
      <w:bookmarkEnd w:id="87"/>
    </w:p>
    <w:p w14:paraId="0A0824E9">
      <w:pPr>
        <w:pStyle w:val="3"/>
        <w:spacing w:before="468" w:beforeLines="150" w:after="312" w:afterLines="100" w:line="360" w:lineRule="auto"/>
        <w:jc w:val="both"/>
        <w:rPr>
          <w:rFonts w:hint="eastAsia" w:ascii="宋体" w:hAnsi="宋体"/>
          <w:highlight w:val="none"/>
        </w:rPr>
      </w:pPr>
      <w:bookmarkStart w:id="88" w:name="_Toc72335523"/>
      <w:bookmarkStart w:id="89" w:name="_Toc415478498"/>
      <w:bookmarkStart w:id="90" w:name="_Toc457852011"/>
      <w:r>
        <w:rPr>
          <w:rFonts w:hint="eastAsia" w:ascii="宋体" w:hAnsi="宋体"/>
          <w:sz w:val="28"/>
          <w:szCs w:val="28"/>
          <w:highlight w:val="none"/>
        </w:rPr>
        <w:t>一、磋商程序及说明</w:t>
      </w:r>
      <w:bookmarkEnd w:id="88"/>
      <w:bookmarkEnd w:id="89"/>
      <w:bookmarkEnd w:id="90"/>
    </w:p>
    <w:p w14:paraId="757CB9E9">
      <w:pPr>
        <w:pStyle w:val="19"/>
        <w:spacing w:line="360" w:lineRule="auto"/>
        <w:ind w:firstLine="480" w:firstLineChars="200"/>
        <w:rPr>
          <w:rFonts w:hAnsi="宋体"/>
          <w:szCs w:val="24"/>
          <w:highlight w:val="none"/>
        </w:rPr>
      </w:pPr>
      <w:r>
        <w:rPr>
          <w:rFonts w:hAnsi="宋体"/>
          <w:szCs w:val="24"/>
          <w:highlight w:val="none"/>
        </w:rPr>
        <w:t>（一）磋商的准备</w:t>
      </w:r>
    </w:p>
    <w:p w14:paraId="4CF5137C">
      <w:pPr>
        <w:pStyle w:val="19"/>
        <w:spacing w:line="360" w:lineRule="auto"/>
        <w:ind w:firstLine="480" w:firstLineChars="200"/>
        <w:rPr>
          <w:rFonts w:hAnsi="宋体"/>
          <w:szCs w:val="24"/>
          <w:highlight w:val="none"/>
        </w:rPr>
      </w:pPr>
      <w:r>
        <w:rPr>
          <w:rFonts w:hAnsi="宋体"/>
          <w:szCs w:val="24"/>
          <w:highlight w:val="none"/>
        </w:rPr>
        <w:t>1、应供应商要求，采购单位可召开磋商前答疑会，向潜在报价人解释竞争性磋商文件，介绍项目背景和采购需求，接受和解答潜在报价人疑问。如果采购人或者采购单位对竞争性磋商文件进行修改，则按本文件第7条规定执行。如果潜在报价人自动放弃参加磋商前答疑会，那么由此报价可能存在的风险由报价人自行承担。</w:t>
      </w:r>
    </w:p>
    <w:p w14:paraId="70F94EFD">
      <w:pPr>
        <w:pStyle w:val="19"/>
        <w:spacing w:line="360" w:lineRule="auto"/>
        <w:ind w:firstLine="480" w:firstLineChars="200"/>
        <w:rPr>
          <w:rFonts w:hAnsi="宋体"/>
          <w:szCs w:val="24"/>
          <w:highlight w:val="none"/>
        </w:rPr>
      </w:pPr>
      <w:r>
        <w:rPr>
          <w:rFonts w:hAnsi="宋体"/>
          <w:szCs w:val="24"/>
          <w:highlight w:val="none"/>
        </w:rPr>
        <w:t>2、磋商前，采购单位人员向竞争性磋商小组成员宣布磋商纪律和磋商工作规则，并遵照执行。竞争性磋商小组成员对与自己有利害关系的竞争性磋商项目应当主动提出回避。</w:t>
      </w:r>
    </w:p>
    <w:p w14:paraId="27584309">
      <w:pPr>
        <w:pStyle w:val="19"/>
        <w:spacing w:line="360" w:lineRule="auto"/>
        <w:ind w:firstLine="480" w:firstLineChars="200"/>
        <w:rPr>
          <w:rFonts w:hAnsi="宋体"/>
          <w:szCs w:val="24"/>
          <w:highlight w:val="none"/>
        </w:rPr>
      </w:pPr>
      <w:r>
        <w:rPr>
          <w:rFonts w:hAnsi="宋体"/>
          <w:szCs w:val="24"/>
          <w:highlight w:val="none"/>
        </w:rPr>
        <w:t>（二）磋商程序</w:t>
      </w:r>
    </w:p>
    <w:p w14:paraId="00108551">
      <w:pPr>
        <w:pStyle w:val="19"/>
        <w:spacing w:line="360" w:lineRule="auto"/>
        <w:ind w:firstLine="480" w:firstLineChars="200"/>
        <w:rPr>
          <w:rFonts w:hAnsi="宋体"/>
          <w:szCs w:val="24"/>
          <w:highlight w:val="none"/>
        </w:rPr>
      </w:pPr>
      <w:r>
        <w:rPr>
          <w:rFonts w:hAnsi="宋体"/>
          <w:szCs w:val="24"/>
          <w:highlight w:val="none"/>
        </w:rPr>
        <w:t>竞争性磋商小组所有成员集中评审响应文件及集中与单一报价人分别进行磋商，并给予所有参加磋商的报价人平等的磋商机会。</w:t>
      </w:r>
    </w:p>
    <w:p w14:paraId="14D72E20">
      <w:pPr>
        <w:pStyle w:val="19"/>
        <w:spacing w:line="360" w:lineRule="auto"/>
        <w:ind w:firstLine="480" w:firstLineChars="200"/>
        <w:rPr>
          <w:rFonts w:hAnsi="宋体"/>
          <w:szCs w:val="24"/>
          <w:highlight w:val="none"/>
        </w:rPr>
      </w:pPr>
      <w:r>
        <w:rPr>
          <w:rFonts w:hAnsi="宋体"/>
          <w:szCs w:val="24"/>
          <w:highlight w:val="none"/>
        </w:rPr>
        <w:t>1、首先对所有响应文件进行资格性和符合性审查。资格性审查，指对响应文件提供的资格证明文件进行审查，以确定报价人和报价产品是否具备有效的报价资格。符合性审查，指对响应文件的有效性、完整性和对竞争性磋商文件的响应程度进行审查。未实质性响应竞争性磋商文件的响应文件按无效响应处理，竞争性磋商小组应当告知提交响应文件的供应商。</w:t>
      </w:r>
    </w:p>
    <w:p w14:paraId="1E112FDC">
      <w:pPr>
        <w:pStyle w:val="19"/>
        <w:spacing w:line="360" w:lineRule="auto"/>
        <w:ind w:firstLine="480" w:firstLineChars="200"/>
        <w:rPr>
          <w:rFonts w:hAnsi="宋体"/>
          <w:b/>
          <w:bCs/>
          <w:szCs w:val="24"/>
          <w:highlight w:val="none"/>
        </w:rPr>
      </w:pPr>
      <w:r>
        <w:rPr>
          <w:rFonts w:hAnsi="宋体"/>
          <w:b/>
          <w:bCs/>
          <w:szCs w:val="24"/>
          <w:highlight w:val="none"/>
        </w:rPr>
        <w:t>1.1 竞争性磋商小组应当对报价人提交的首次响应文件进行资格性检查。响应文件应满足下列要求，否则其响应文件无效，竞争性磋商小组应当告知有关供应商：</w:t>
      </w:r>
    </w:p>
    <w:p w14:paraId="1465CED4">
      <w:pPr>
        <w:pStyle w:val="19"/>
        <w:spacing w:line="360" w:lineRule="auto"/>
        <w:ind w:firstLine="480" w:firstLineChars="200"/>
        <w:rPr>
          <w:rFonts w:hAnsi="宋体"/>
          <w:b/>
          <w:bCs/>
          <w:highlight w:val="none"/>
        </w:rPr>
      </w:pPr>
      <w:r>
        <w:rPr>
          <w:rFonts w:hAnsi="宋体"/>
          <w:b/>
          <w:bCs/>
          <w:szCs w:val="24"/>
          <w:highlight w:val="none"/>
        </w:rPr>
        <w:t>（1）具有有效的</w:t>
      </w:r>
      <w:r>
        <w:rPr>
          <w:rFonts w:hAnsi="宋体"/>
          <w:b/>
          <w:bCs/>
          <w:highlight w:val="none"/>
        </w:rPr>
        <w:t>营业执照</w:t>
      </w:r>
      <w:r>
        <w:rPr>
          <w:b/>
          <w:bCs/>
          <w:highlight w:val="none"/>
        </w:rPr>
        <w:t>（若以分支机构名义投标的，应当取得其法人单位授权书）</w:t>
      </w:r>
      <w:r>
        <w:rPr>
          <w:rFonts w:hint="eastAsia"/>
          <w:b/>
          <w:bCs/>
          <w:highlight w:val="none"/>
          <w:lang w:eastAsia="zh-CN"/>
        </w:rPr>
        <w:t>、</w:t>
      </w:r>
      <w:r>
        <w:rPr>
          <w:rFonts w:hint="eastAsia"/>
          <w:b/>
          <w:bCs/>
          <w:highlight w:val="none"/>
          <w:lang w:val="en-US" w:eastAsia="zh-CN"/>
        </w:rPr>
        <w:t>资质证书</w:t>
      </w:r>
      <w:r>
        <w:rPr>
          <w:rFonts w:hAnsi="宋体"/>
          <w:b/>
          <w:bCs/>
          <w:highlight w:val="none"/>
        </w:rPr>
        <w:t>；</w:t>
      </w:r>
    </w:p>
    <w:p w14:paraId="20BC5C5B">
      <w:pPr>
        <w:pStyle w:val="19"/>
        <w:spacing w:line="360" w:lineRule="auto"/>
        <w:ind w:firstLine="480" w:firstLineChars="200"/>
        <w:rPr>
          <w:rFonts w:hAnsi="宋体"/>
          <w:b/>
          <w:bCs/>
          <w:szCs w:val="24"/>
          <w:highlight w:val="none"/>
        </w:rPr>
      </w:pPr>
      <w:r>
        <w:rPr>
          <w:rFonts w:hAnsi="宋体"/>
          <w:b/>
          <w:bCs/>
          <w:szCs w:val="24"/>
          <w:highlight w:val="none"/>
        </w:rPr>
        <w:t>（2）未被列入“信用中国”网站(www.creditchina.gov.cn)失信惩戒名单、失信被执行人名单、重大税收违法案件当事人名单和中国政府采购网(www.ccgp.gov.cn)政府采购严重违法失信行为记录名单；</w:t>
      </w:r>
    </w:p>
    <w:p w14:paraId="752FD184">
      <w:pPr>
        <w:pStyle w:val="19"/>
        <w:spacing w:line="360" w:lineRule="auto"/>
        <w:ind w:firstLine="480" w:firstLineChars="200"/>
        <w:rPr>
          <w:rFonts w:hAnsi="宋体"/>
          <w:b/>
          <w:bCs/>
          <w:szCs w:val="24"/>
          <w:highlight w:val="none"/>
        </w:rPr>
      </w:pPr>
      <w:r>
        <w:rPr>
          <w:rFonts w:hAnsi="宋体"/>
          <w:b/>
          <w:bCs/>
          <w:szCs w:val="24"/>
          <w:highlight w:val="none"/>
        </w:rPr>
        <w:t>（3）不允许联合投标。</w:t>
      </w:r>
    </w:p>
    <w:p w14:paraId="4685B993">
      <w:pPr>
        <w:pStyle w:val="19"/>
        <w:spacing w:line="360" w:lineRule="auto"/>
        <w:ind w:firstLine="480" w:firstLineChars="200"/>
        <w:rPr>
          <w:rFonts w:hAnsi="宋体"/>
          <w:b/>
          <w:bCs/>
          <w:szCs w:val="24"/>
          <w:highlight w:val="none"/>
        </w:rPr>
      </w:pPr>
      <w:r>
        <w:rPr>
          <w:rFonts w:hAnsi="宋体"/>
          <w:b/>
          <w:bCs/>
          <w:szCs w:val="24"/>
          <w:highlight w:val="none"/>
        </w:rPr>
        <w:t>（4）财务状况及税收、社会保障资金缴纳情况声明函；</w:t>
      </w:r>
    </w:p>
    <w:p w14:paraId="132D29BA">
      <w:pPr>
        <w:pStyle w:val="19"/>
        <w:spacing w:line="360" w:lineRule="auto"/>
        <w:ind w:firstLine="480" w:firstLineChars="200"/>
        <w:rPr>
          <w:rFonts w:hAnsi="宋体"/>
          <w:b/>
          <w:bCs/>
          <w:szCs w:val="24"/>
          <w:highlight w:val="none"/>
        </w:rPr>
      </w:pPr>
      <w:r>
        <w:rPr>
          <w:rFonts w:hAnsi="宋体"/>
          <w:b/>
          <w:bCs/>
          <w:szCs w:val="24"/>
          <w:highlight w:val="none"/>
        </w:rPr>
        <w:t>（5）不同供应商的法定代表人或法定代表人非同一人，且不存在控股、管理关系，通过“国家企业信用信息公示系统（</w:t>
      </w:r>
      <w:r>
        <w:rPr>
          <w:b/>
          <w:bCs/>
          <w:highlight w:val="none"/>
        </w:rPr>
        <w:fldChar w:fldCharType="begin"/>
      </w:r>
      <w:r>
        <w:rPr>
          <w:b/>
          <w:bCs/>
          <w:highlight w:val="none"/>
        </w:rPr>
        <w:instrText xml:space="preserve"> HYPERLINK "http://www.gsxt.gov.cn" </w:instrText>
      </w:r>
      <w:r>
        <w:rPr>
          <w:b/>
          <w:bCs/>
          <w:highlight w:val="none"/>
        </w:rPr>
        <w:fldChar w:fldCharType="separate"/>
      </w:r>
      <w:r>
        <w:rPr>
          <w:rStyle w:val="43"/>
          <w:rFonts w:hAnsi="宋体"/>
          <w:b/>
          <w:bCs/>
          <w:color w:val="auto"/>
          <w:szCs w:val="24"/>
          <w:highlight w:val="none"/>
        </w:rPr>
        <w:t>www.gsxt.gov.cn</w:t>
      </w:r>
      <w:r>
        <w:rPr>
          <w:rStyle w:val="43"/>
          <w:rFonts w:hAnsi="宋体"/>
          <w:b/>
          <w:bCs/>
          <w:color w:val="auto"/>
          <w:szCs w:val="24"/>
          <w:highlight w:val="none"/>
        </w:rPr>
        <w:fldChar w:fldCharType="end"/>
      </w:r>
      <w:r>
        <w:rPr>
          <w:rFonts w:hAnsi="宋体"/>
          <w:b/>
          <w:bCs/>
          <w:szCs w:val="24"/>
          <w:highlight w:val="none"/>
        </w:rPr>
        <w:t>）”查询；</w:t>
      </w:r>
    </w:p>
    <w:p w14:paraId="46A67892">
      <w:pPr>
        <w:pStyle w:val="19"/>
        <w:spacing w:line="360" w:lineRule="auto"/>
        <w:ind w:firstLine="480" w:firstLineChars="200"/>
        <w:rPr>
          <w:rFonts w:hAnsi="宋体"/>
          <w:b/>
          <w:bCs/>
          <w:szCs w:val="24"/>
          <w:highlight w:val="none"/>
        </w:rPr>
      </w:pPr>
      <w:r>
        <w:rPr>
          <w:rFonts w:hAnsi="宋体"/>
          <w:b/>
          <w:bCs/>
          <w:szCs w:val="24"/>
          <w:highlight w:val="none"/>
        </w:rPr>
        <w:t>（6）供应商未为采购项目提供整体设计、规范编制或者项目管理、监理、检测等服务。</w:t>
      </w:r>
    </w:p>
    <w:p w14:paraId="7B6C551F">
      <w:pPr>
        <w:pStyle w:val="19"/>
        <w:spacing w:line="360" w:lineRule="auto"/>
        <w:ind w:firstLine="480" w:firstLineChars="200"/>
        <w:rPr>
          <w:rFonts w:hAnsi="宋体"/>
          <w:b/>
          <w:bCs/>
          <w:szCs w:val="24"/>
          <w:highlight w:val="none"/>
        </w:rPr>
      </w:pPr>
      <w:r>
        <w:rPr>
          <w:rFonts w:hAnsi="宋体"/>
          <w:b/>
          <w:bCs/>
          <w:szCs w:val="24"/>
          <w:highlight w:val="none"/>
        </w:rPr>
        <w:t>（7）近三年在经营活动中无重大违法记录的承诺；</w:t>
      </w:r>
    </w:p>
    <w:p w14:paraId="060A8F89">
      <w:pPr>
        <w:pStyle w:val="19"/>
        <w:spacing w:line="360" w:lineRule="auto"/>
        <w:ind w:firstLine="480" w:firstLineChars="200"/>
        <w:rPr>
          <w:rFonts w:hAnsi="宋体"/>
          <w:b/>
          <w:bCs/>
          <w:szCs w:val="24"/>
          <w:highlight w:val="none"/>
        </w:rPr>
      </w:pPr>
      <w:r>
        <w:rPr>
          <w:rFonts w:hAnsi="宋体"/>
          <w:b/>
          <w:bCs/>
          <w:szCs w:val="24"/>
          <w:highlight w:val="none"/>
        </w:rPr>
        <w:t>（8）本项目专门面向中小微企业采购，投标单位需为中小微企业。</w:t>
      </w:r>
    </w:p>
    <w:p w14:paraId="5E312541">
      <w:pPr>
        <w:pStyle w:val="19"/>
        <w:spacing w:line="360" w:lineRule="auto"/>
        <w:ind w:firstLine="480" w:firstLineChars="200"/>
        <w:rPr>
          <w:rFonts w:hAnsi="宋体"/>
          <w:b/>
          <w:bCs/>
          <w:szCs w:val="24"/>
          <w:highlight w:val="none"/>
        </w:rPr>
      </w:pPr>
      <w:r>
        <w:rPr>
          <w:rFonts w:hAnsi="宋体"/>
          <w:b/>
          <w:bCs/>
          <w:szCs w:val="24"/>
          <w:highlight w:val="none"/>
        </w:rPr>
        <w:t>（9）满足《中华人民共和国政府采购法》第二十二条规定的内容；</w:t>
      </w:r>
    </w:p>
    <w:p w14:paraId="1E6F0814">
      <w:pPr>
        <w:pStyle w:val="19"/>
        <w:spacing w:line="360" w:lineRule="auto"/>
        <w:ind w:firstLine="480" w:firstLineChars="200"/>
        <w:rPr>
          <w:rFonts w:hAnsi="宋体"/>
          <w:b/>
          <w:bCs/>
          <w:szCs w:val="24"/>
          <w:highlight w:val="none"/>
        </w:rPr>
      </w:pPr>
      <w:r>
        <w:rPr>
          <w:rFonts w:hAnsi="宋体"/>
          <w:b/>
          <w:bCs/>
          <w:szCs w:val="24"/>
          <w:highlight w:val="none"/>
        </w:rPr>
        <w:t>（10）不存在其他不符合采购文件资格要求的情形。</w:t>
      </w:r>
    </w:p>
    <w:p w14:paraId="2495BC76">
      <w:pPr>
        <w:pStyle w:val="19"/>
        <w:spacing w:line="360" w:lineRule="auto"/>
        <w:ind w:firstLine="480" w:firstLineChars="200"/>
        <w:rPr>
          <w:rFonts w:hAnsi="宋体"/>
          <w:b/>
          <w:bCs/>
          <w:szCs w:val="24"/>
          <w:highlight w:val="none"/>
        </w:rPr>
      </w:pPr>
      <w:r>
        <w:rPr>
          <w:rFonts w:hAnsi="宋体"/>
          <w:b/>
          <w:bCs/>
          <w:szCs w:val="24"/>
          <w:highlight w:val="none"/>
        </w:rPr>
        <w:t>1.2 竞争性磋商小组应当对通过资格检查的报价人提交的首次响应文件进行符合性检查。响应文件有下列情况之一，其响应文件无效，竞争性磋商小组应当告知有关供应商：</w:t>
      </w:r>
    </w:p>
    <w:p w14:paraId="1F6BC280">
      <w:pPr>
        <w:pStyle w:val="19"/>
        <w:spacing w:line="360" w:lineRule="auto"/>
        <w:ind w:firstLine="480" w:firstLineChars="200"/>
        <w:rPr>
          <w:rFonts w:hAnsi="宋体"/>
          <w:b/>
          <w:bCs/>
          <w:szCs w:val="24"/>
          <w:highlight w:val="none"/>
        </w:rPr>
      </w:pPr>
      <w:r>
        <w:rPr>
          <w:rFonts w:hAnsi="宋体"/>
          <w:b/>
          <w:bCs/>
          <w:szCs w:val="24"/>
          <w:highlight w:val="none"/>
        </w:rPr>
        <w:t>（1）未按照竞争性磋商文件规定要求签署、盖章的（签章要求详见第五部分响应文件格式的要求）；</w:t>
      </w:r>
    </w:p>
    <w:p w14:paraId="041174DB">
      <w:pPr>
        <w:pStyle w:val="19"/>
        <w:spacing w:line="360" w:lineRule="auto"/>
        <w:ind w:firstLine="480" w:firstLineChars="200"/>
        <w:rPr>
          <w:rFonts w:hAnsi="宋体"/>
          <w:b/>
          <w:bCs/>
          <w:szCs w:val="24"/>
          <w:highlight w:val="none"/>
        </w:rPr>
      </w:pPr>
      <w:r>
        <w:rPr>
          <w:rFonts w:hAnsi="宋体"/>
          <w:b/>
          <w:bCs/>
          <w:szCs w:val="24"/>
          <w:highlight w:val="none"/>
        </w:rPr>
        <w:t>（2）如为法定代表人的授权代表投标的，未提供由法定代表人签署有效的法定代表人授权委托书及被授权代表人在该单位最新一期社保缴纳证明（报名当月不计），且授权代表需符合招标文件的要求;</w:t>
      </w:r>
    </w:p>
    <w:p w14:paraId="2CBCAC8F">
      <w:pPr>
        <w:pStyle w:val="19"/>
        <w:spacing w:line="360" w:lineRule="auto"/>
        <w:ind w:firstLine="480" w:firstLineChars="200"/>
        <w:rPr>
          <w:rFonts w:hAnsi="宋体"/>
          <w:b/>
          <w:bCs/>
          <w:szCs w:val="24"/>
          <w:highlight w:val="none"/>
        </w:rPr>
      </w:pPr>
      <w:r>
        <w:rPr>
          <w:rFonts w:hAnsi="宋体"/>
          <w:b/>
          <w:bCs/>
          <w:szCs w:val="24"/>
          <w:highlight w:val="none"/>
        </w:rPr>
        <w:t>（3）响应文件书写潦草、字迹模糊不清难以辨认的；</w:t>
      </w:r>
    </w:p>
    <w:p w14:paraId="5D34A9DD">
      <w:pPr>
        <w:pStyle w:val="19"/>
        <w:spacing w:line="360" w:lineRule="auto"/>
        <w:ind w:firstLine="480" w:firstLineChars="200"/>
        <w:rPr>
          <w:rFonts w:hAnsi="宋体"/>
          <w:b/>
          <w:bCs/>
          <w:szCs w:val="24"/>
          <w:highlight w:val="none"/>
        </w:rPr>
      </w:pPr>
      <w:r>
        <w:rPr>
          <w:rFonts w:hAnsi="宋体"/>
          <w:b/>
          <w:bCs/>
          <w:szCs w:val="24"/>
          <w:highlight w:val="none"/>
        </w:rPr>
        <w:t>（4）响应文件有效期不足的；</w:t>
      </w:r>
    </w:p>
    <w:p w14:paraId="48655ACD">
      <w:pPr>
        <w:pStyle w:val="19"/>
        <w:spacing w:line="360" w:lineRule="auto"/>
        <w:ind w:firstLine="480" w:firstLineChars="200"/>
        <w:rPr>
          <w:rFonts w:hAnsi="宋体"/>
          <w:b/>
          <w:bCs/>
          <w:szCs w:val="24"/>
          <w:highlight w:val="none"/>
        </w:rPr>
      </w:pPr>
      <w:r>
        <w:rPr>
          <w:rFonts w:hAnsi="宋体"/>
          <w:b/>
          <w:bCs/>
          <w:szCs w:val="24"/>
          <w:highlight w:val="none"/>
        </w:rPr>
        <w:t>（5）服务期限不满足采购需求的；</w:t>
      </w:r>
    </w:p>
    <w:p w14:paraId="73594A4E">
      <w:pPr>
        <w:pStyle w:val="19"/>
        <w:spacing w:line="360" w:lineRule="auto"/>
        <w:ind w:firstLine="480" w:firstLineChars="200"/>
        <w:rPr>
          <w:rFonts w:hAnsi="宋体"/>
          <w:b/>
          <w:bCs/>
          <w:szCs w:val="24"/>
          <w:highlight w:val="none"/>
        </w:rPr>
      </w:pPr>
      <w:r>
        <w:rPr>
          <w:rFonts w:hAnsi="宋体"/>
          <w:b/>
          <w:bCs/>
          <w:szCs w:val="24"/>
          <w:highlight w:val="none"/>
        </w:rPr>
        <w:t>（6）投标报价低于成本价或超出最高限价的（含单价、总价）；</w:t>
      </w:r>
    </w:p>
    <w:p w14:paraId="43847863">
      <w:pPr>
        <w:pStyle w:val="19"/>
        <w:spacing w:line="360" w:lineRule="auto"/>
        <w:ind w:firstLine="480" w:firstLineChars="200"/>
        <w:rPr>
          <w:rFonts w:hAnsi="宋体"/>
          <w:b/>
          <w:bCs/>
          <w:szCs w:val="24"/>
          <w:highlight w:val="none"/>
        </w:rPr>
      </w:pPr>
      <w:r>
        <w:rPr>
          <w:rFonts w:hAnsi="宋体"/>
          <w:b/>
          <w:bCs/>
          <w:szCs w:val="24"/>
          <w:highlight w:val="none"/>
        </w:rPr>
        <w:t>（7）存在更改本项目招标内容、不完整报价、0报价、象征性报价、缺项、漏项、严重不符合市场价规律报价等情形的；</w:t>
      </w:r>
    </w:p>
    <w:p w14:paraId="4C0B5717">
      <w:pPr>
        <w:pStyle w:val="19"/>
        <w:spacing w:line="360" w:lineRule="auto"/>
        <w:ind w:firstLine="480" w:firstLineChars="200"/>
        <w:rPr>
          <w:rFonts w:hAnsi="宋体"/>
          <w:b/>
          <w:bCs/>
          <w:szCs w:val="24"/>
          <w:highlight w:val="none"/>
        </w:rPr>
      </w:pPr>
      <w:r>
        <w:rPr>
          <w:rFonts w:hint="default" w:hAnsi="宋体"/>
          <w:b/>
          <w:bCs/>
          <w:szCs w:val="24"/>
          <w:highlight w:val="none"/>
        </w:rPr>
        <w:t>（</w:t>
      </w:r>
      <w:r>
        <w:rPr>
          <w:rFonts w:hAnsi="宋体"/>
          <w:b/>
          <w:bCs/>
          <w:szCs w:val="24"/>
          <w:highlight w:val="none"/>
        </w:rPr>
        <w:t>8</w:t>
      </w:r>
      <w:r>
        <w:rPr>
          <w:rFonts w:hint="default" w:hAnsi="宋体"/>
          <w:b/>
          <w:bCs/>
          <w:szCs w:val="24"/>
          <w:highlight w:val="none"/>
        </w:rPr>
        <w:t>）存在更改付款方式、付款条伯等实质性条款的；或附有招标人不能接受条款的；投标人未接受招标文件规定的风险划分原则，或者提出新的风险划分办法；投标人增加采购人的责任范围，或者减少投标人义务：投标人提出不同的项目计量、支付办法；投标人对合同纠纷、事故处理办法提出异议；投标人对合同条款出现重要保留的</w:t>
      </w:r>
      <w:r>
        <w:rPr>
          <w:rFonts w:hAnsi="宋体"/>
          <w:b/>
          <w:bCs/>
          <w:szCs w:val="24"/>
          <w:highlight w:val="none"/>
        </w:rPr>
        <w:t>；</w:t>
      </w:r>
    </w:p>
    <w:p w14:paraId="6A18E120">
      <w:pPr>
        <w:pStyle w:val="19"/>
        <w:spacing w:line="360" w:lineRule="auto"/>
        <w:ind w:firstLine="480" w:firstLineChars="200"/>
        <w:rPr>
          <w:rFonts w:hAnsi="宋体"/>
          <w:b/>
          <w:bCs/>
          <w:szCs w:val="24"/>
          <w:highlight w:val="none"/>
        </w:rPr>
      </w:pPr>
      <w:r>
        <w:rPr>
          <w:rFonts w:hAnsi="宋体"/>
          <w:b/>
          <w:bCs/>
          <w:szCs w:val="24"/>
          <w:highlight w:val="none"/>
        </w:rPr>
        <w:t>（9）</w:t>
      </w:r>
      <w:r>
        <w:rPr>
          <w:rFonts w:hAnsi="宋体"/>
          <w:b/>
          <w:bCs/>
          <w:highlight w:val="none"/>
        </w:rPr>
        <w:t>存在欺诈或其他严重违背公平竞争和诚实信用原则、扰乱政府采购正常秩序的行为；</w:t>
      </w:r>
    </w:p>
    <w:p w14:paraId="5781654F">
      <w:pPr>
        <w:pStyle w:val="19"/>
        <w:spacing w:line="360" w:lineRule="auto"/>
        <w:ind w:firstLine="480" w:firstLineChars="200"/>
        <w:rPr>
          <w:rFonts w:hAnsi="宋体"/>
          <w:b/>
          <w:bCs/>
          <w:szCs w:val="24"/>
          <w:highlight w:val="none"/>
        </w:rPr>
      </w:pPr>
      <w:r>
        <w:rPr>
          <w:rFonts w:hAnsi="宋体"/>
          <w:b/>
          <w:bCs/>
          <w:szCs w:val="24"/>
          <w:highlight w:val="none"/>
        </w:rPr>
        <w:t>（10）不符合法律、规章、规范性文件和竞争性磋商文件规定的。</w:t>
      </w:r>
    </w:p>
    <w:p w14:paraId="1A187BFE">
      <w:pPr>
        <w:pStyle w:val="19"/>
        <w:spacing w:line="360" w:lineRule="auto"/>
        <w:ind w:firstLine="480" w:firstLineChars="200"/>
        <w:rPr>
          <w:rFonts w:hAnsi="宋体"/>
          <w:szCs w:val="24"/>
          <w:highlight w:val="none"/>
        </w:rPr>
      </w:pPr>
      <w:r>
        <w:rPr>
          <w:rFonts w:hAnsi="宋体"/>
          <w:szCs w:val="24"/>
          <w:highlight w:val="none"/>
        </w:rPr>
        <w:t>2、竞争性磋商</w:t>
      </w:r>
    </w:p>
    <w:p w14:paraId="38596F27">
      <w:pPr>
        <w:pStyle w:val="19"/>
        <w:spacing w:line="360" w:lineRule="auto"/>
        <w:ind w:firstLine="480" w:firstLineChars="200"/>
        <w:rPr>
          <w:rFonts w:hAnsi="宋体"/>
          <w:szCs w:val="24"/>
          <w:highlight w:val="none"/>
        </w:rPr>
      </w:pPr>
      <w:r>
        <w:rPr>
          <w:rFonts w:hAnsi="宋体"/>
          <w:szCs w:val="24"/>
          <w:highlight w:val="none"/>
        </w:rPr>
        <w:t>按照报价人报名顺序、递交响应文件顺序或者随机方式等确定参加磋商的报价人的磋商顺序。</w:t>
      </w:r>
    </w:p>
    <w:p w14:paraId="5A0A07A1">
      <w:pPr>
        <w:pStyle w:val="19"/>
        <w:spacing w:line="360" w:lineRule="auto"/>
        <w:ind w:firstLine="480" w:firstLineChars="200"/>
        <w:rPr>
          <w:rFonts w:hAnsi="宋体"/>
          <w:szCs w:val="24"/>
          <w:highlight w:val="none"/>
        </w:rPr>
      </w:pPr>
      <w:r>
        <w:rPr>
          <w:rFonts w:hAnsi="宋体"/>
          <w:szCs w:val="24"/>
          <w:highlight w:val="none"/>
        </w:rPr>
        <w:t>所有竞争性磋商小组成员集中与每位实质性响应供应商分别进行单独磋商：</w:t>
      </w:r>
    </w:p>
    <w:p w14:paraId="4DD38ADF">
      <w:pPr>
        <w:pStyle w:val="19"/>
        <w:spacing w:line="360" w:lineRule="auto"/>
        <w:ind w:firstLine="480" w:firstLineChars="200"/>
        <w:rPr>
          <w:rFonts w:hAnsi="宋体"/>
          <w:szCs w:val="24"/>
          <w:highlight w:val="none"/>
        </w:rPr>
      </w:pPr>
      <w:r>
        <w:rPr>
          <w:rFonts w:hAnsi="宋体"/>
          <w:szCs w:val="24"/>
          <w:highlight w:val="none"/>
        </w:rPr>
        <w:t>（1）竞争性磋商小组就报价人服务方案和商务响应情况以及企业基本情况、项目经验和提供服务能力等与报价人代表磋商，内容可以包括：可以对竞争性磋商文件中对某些事项有规定要求，而响应文件表述不清楚或没有提供相关资料的事项；竞争性磋商文件不能详细列明采购标的技术、服务要求，需经竞争性磋商由供应商提供最终服务方案或解决方案；需要质疑、询问供应商的事项；其它需要竞争性磋商的事项。</w:t>
      </w:r>
    </w:p>
    <w:p w14:paraId="47836F9E">
      <w:pPr>
        <w:pStyle w:val="19"/>
        <w:spacing w:line="360" w:lineRule="auto"/>
        <w:ind w:firstLine="480" w:firstLineChars="200"/>
        <w:rPr>
          <w:rFonts w:hAnsi="宋体"/>
          <w:szCs w:val="24"/>
          <w:highlight w:val="none"/>
        </w:rPr>
      </w:pPr>
      <w:r>
        <w:rPr>
          <w:rFonts w:hAnsi="宋体"/>
          <w:szCs w:val="24"/>
          <w:highlight w:val="none"/>
        </w:rPr>
        <w:t>（2）在与所有有效报价人分别磋商后，竞争性磋商小组应要求其在规定时间内提交最后报价。最后报价应以书面形式提交，并须由其法定代表人或其授权代表签字确认。</w:t>
      </w:r>
    </w:p>
    <w:p w14:paraId="185DDBBD">
      <w:pPr>
        <w:pStyle w:val="19"/>
        <w:spacing w:line="360" w:lineRule="auto"/>
        <w:ind w:firstLine="480" w:firstLineChars="200"/>
        <w:rPr>
          <w:rFonts w:hAnsi="宋体"/>
          <w:szCs w:val="24"/>
          <w:highlight w:val="none"/>
        </w:rPr>
      </w:pPr>
      <w:r>
        <w:rPr>
          <w:rFonts w:hAnsi="宋体"/>
          <w:szCs w:val="24"/>
          <w:highlight w:val="none"/>
        </w:rPr>
        <w:t>（3）经磋商确定最终采购需求和提交最后报价的供应商后，竞争性磋商小组采用综合评分法对提交最后报价的供应商的响应文件和最后报价进行综合评分。</w:t>
      </w:r>
    </w:p>
    <w:p w14:paraId="63C3A53E">
      <w:pPr>
        <w:pStyle w:val="19"/>
        <w:spacing w:line="360" w:lineRule="auto"/>
        <w:ind w:firstLine="480" w:firstLineChars="200"/>
        <w:rPr>
          <w:rFonts w:hAnsi="宋体" w:cs="Arial"/>
          <w:highlight w:val="none"/>
        </w:rPr>
      </w:pPr>
      <w:r>
        <w:rPr>
          <w:rFonts w:hAnsi="宋体"/>
          <w:szCs w:val="24"/>
          <w:highlight w:val="none"/>
        </w:rPr>
        <w:t>（4）竞争性磋商小组根据综合评分情况，按照评审得分由高到低确定</w:t>
      </w:r>
      <w:r>
        <w:rPr>
          <w:rFonts w:hAnsi="宋体"/>
          <w:b/>
          <w:bCs/>
          <w:szCs w:val="24"/>
          <w:highlight w:val="none"/>
        </w:rPr>
        <w:t>两名成交候选供应商</w:t>
      </w:r>
      <w:r>
        <w:rPr>
          <w:rFonts w:hAnsi="宋体"/>
          <w:szCs w:val="24"/>
          <w:highlight w:val="none"/>
        </w:rPr>
        <w:t>，并编写评审报告。评审得分相同的，按照最后报价由低到高的顺序确定，评审得分且最后报价相同的，按照技术指标优劣顺序确定成交候选供应商。评审报告由竞争性磋商小组全体人员签字。</w:t>
      </w:r>
      <w:r>
        <w:rPr>
          <w:rFonts w:hAnsi="宋体" w:cs="Arial"/>
          <w:highlight w:val="none"/>
        </w:rPr>
        <w:t>竞争性磋商小组成员对评审报告有异议的，竞争性磋商小组按照少数服从多数的原则推荐成交候选供应商，采购程序继续进行。对评审报告有异议的竞争性磋商小组成员，应当在报告上签署不同意见并说明理由，由竞争性磋商小组书面记录相关情况。竞争性磋商小组成员拒绝在报告上签字又不书面说明其不同意见和理由的，视为同意评审报告。</w:t>
      </w:r>
    </w:p>
    <w:p w14:paraId="63A73594">
      <w:pPr>
        <w:pStyle w:val="19"/>
        <w:spacing w:line="360" w:lineRule="auto"/>
        <w:ind w:firstLine="480"/>
        <w:rPr>
          <w:rFonts w:hAnsi="宋体"/>
          <w:szCs w:val="24"/>
          <w:highlight w:val="none"/>
        </w:rPr>
      </w:pPr>
      <w:r>
        <w:rPr>
          <w:rFonts w:hAnsi="宋体"/>
          <w:szCs w:val="24"/>
          <w:highlight w:val="none"/>
        </w:rPr>
        <w:t>（三）其它须知事项</w:t>
      </w:r>
    </w:p>
    <w:p w14:paraId="20BF6AD9">
      <w:pPr>
        <w:pStyle w:val="19"/>
        <w:spacing w:line="360" w:lineRule="auto"/>
        <w:ind w:firstLine="480" w:firstLineChars="200"/>
        <w:rPr>
          <w:rFonts w:hAnsi="宋体"/>
          <w:szCs w:val="24"/>
          <w:highlight w:val="none"/>
        </w:rPr>
      </w:pPr>
      <w:r>
        <w:rPr>
          <w:rFonts w:hAnsi="宋体"/>
          <w:szCs w:val="24"/>
          <w:highlight w:val="none"/>
        </w:rPr>
        <w:t>1、竞争性磋商文件和响应文件的澄清或修正</w:t>
      </w:r>
    </w:p>
    <w:p w14:paraId="6A72D8E0">
      <w:pPr>
        <w:pStyle w:val="19"/>
        <w:spacing w:line="360" w:lineRule="auto"/>
        <w:ind w:firstLine="480" w:firstLineChars="200"/>
        <w:rPr>
          <w:rFonts w:hAnsi="宋体"/>
          <w:szCs w:val="24"/>
          <w:highlight w:val="none"/>
        </w:rPr>
      </w:pPr>
      <w:r>
        <w:rPr>
          <w:rFonts w:hAnsi="宋体"/>
          <w:szCs w:val="24"/>
          <w:highlight w:val="none"/>
        </w:rPr>
        <w:t>在磋商过程中，竞争性磋商小组可以根据竞争性磋商文件和磋商情况实质性变动采购需求中的技术、服务要求以及合同草案条款，但不得变动竞争性磋商文件中的其他内容。实质性变动的内容，须经采购人代表确认。对竞争性磋商文件作出的实质性变动是竞争性磋商文件的有效组成部分，竞争性磋商小组应当及时以书面形式同时通知所有参加磋商的供应商。</w:t>
      </w:r>
    </w:p>
    <w:p w14:paraId="52F7059B">
      <w:pPr>
        <w:adjustRightInd w:val="0"/>
        <w:snapToGrid w:val="0"/>
        <w:spacing w:line="360" w:lineRule="auto"/>
        <w:ind w:firstLine="480" w:firstLineChars="200"/>
        <w:rPr>
          <w:rFonts w:hint="eastAsia"/>
          <w:highlight w:val="none"/>
        </w:rPr>
      </w:pPr>
      <w:r>
        <w:rPr>
          <w:rFonts w:hint="eastAsia"/>
          <w:highlight w:val="none"/>
        </w:rPr>
        <w:t>竞争性磋商小组在对响应文件的有效性、完整性和响应程度进行审查时，可以书面形式要求供应商对响应文件中含义不明确、同类问题表述不一致或者有明显文字和计算错误的内容等作出必要的澄清、说明或者更正。供应商的澄清、说明或者更正不得超出响应文件的范围或者改变响应文件的实质性内容。报价人的澄清、说明或者更正应当由法定代表人或其授权代表签字或者加盖公章。</w:t>
      </w:r>
    </w:p>
    <w:p w14:paraId="699EEB4A">
      <w:pPr>
        <w:numPr>
          <w:ilvl w:val="0"/>
          <w:numId w:val="6"/>
        </w:numPr>
        <w:adjustRightInd w:val="0"/>
        <w:snapToGrid w:val="0"/>
        <w:spacing w:line="360" w:lineRule="auto"/>
        <w:ind w:firstLine="480" w:firstLineChars="200"/>
        <w:rPr>
          <w:rFonts w:hint="eastAsia"/>
          <w:highlight w:val="none"/>
        </w:rPr>
      </w:pPr>
      <w:r>
        <w:rPr>
          <w:rFonts w:hint="eastAsia"/>
          <w:highlight w:val="none"/>
        </w:rPr>
        <w:t>竞争性磋商活动中，应当给予每个实质性响应供应商进行竞争性磋商和报价相同的机会；磋商双方不得透露与磋商有关的其他报价人的技术资料、价格和其他任何信息。对实质性响应报价人需要澄清或修正响应文件提供和规定较充分的时间，澄清或修正响应文件逾时不交的，可视同报价人放弃磋商。</w:t>
      </w:r>
    </w:p>
    <w:p w14:paraId="10B569E0">
      <w:pPr>
        <w:numPr>
          <w:ilvl w:val="0"/>
          <w:numId w:val="6"/>
        </w:numPr>
        <w:adjustRightInd w:val="0"/>
        <w:snapToGrid w:val="0"/>
        <w:spacing w:line="360" w:lineRule="auto"/>
        <w:ind w:firstLine="480" w:firstLineChars="200"/>
        <w:rPr>
          <w:rFonts w:hint="eastAsia"/>
          <w:b/>
          <w:bCs/>
          <w:highlight w:val="none"/>
        </w:rPr>
      </w:pPr>
      <w:r>
        <w:rPr>
          <w:rFonts w:hint="eastAsia"/>
          <w:b/>
          <w:bCs/>
          <w:highlight w:val="none"/>
        </w:rPr>
        <w:t>评审过程中出现下列情形之一的，评审委员会应当启动异常低价投标（响应）审查程序：</w:t>
      </w:r>
    </w:p>
    <w:p w14:paraId="1AAB70BF">
      <w:pPr>
        <w:numPr>
          <w:ilvl w:val="255"/>
          <w:numId w:val="0"/>
        </w:numPr>
        <w:adjustRightInd w:val="0"/>
        <w:snapToGrid w:val="0"/>
        <w:spacing w:line="360" w:lineRule="auto"/>
        <w:ind w:firstLine="480" w:firstLineChars="200"/>
        <w:rPr>
          <w:rFonts w:hint="eastAsia"/>
          <w:b/>
          <w:bCs/>
          <w:highlight w:val="none"/>
        </w:rPr>
      </w:pPr>
      <w:r>
        <w:rPr>
          <w:rFonts w:hint="eastAsia"/>
          <w:b/>
          <w:bCs/>
          <w:highlight w:val="none"/>
        </w:rPr>
        <w:t>①投标（响应）报价低于全部通过符合性审查供应商投标（响应）报价平均值65%的，即投标（响应）报价&lt;全部通过符合性 审查供应商投标（响应）报价平均值×65%；</w:t>
      </w:r>
    </w:p>
    <w:p w14:paraId="3E1115F8">
      <w:pPr>
        <w:numPr>
          <w:ilvl w:val="255"/>
          <w:numId w:val="0"/>
        </w:numPr>
        <w:adjustRightInd w:val="0"/>
        <w:snapToGrid w:val="0"/>
        <w:spacing w:line="360" w:lineRule="auto"/>
        <w:ind w:firstLine="480" w:firstLineChars="200"/>
        <w:rPr>
          <w:rFonts w:hint="eastAsia"/>
          <w:b/>
          <w:bCs/>
          <w:highlight w:val="none"/>
        </w:rPr>
      </w:pPr>
      <w:r>
        <w:rPr>
          <w:rFonts w:hint="eastAsia"/>
          <w:b/>
          <w:bCs/>
          <w:highlight w:val="none"/>
        </w:rPr>
        <w:t>②投标（响应）报价低于通过符合性审查的次低报价供应商投标（响应）报价65%的，即投标（响应）报价&lt;通过符合性审查 的次低报价供应商投标（响应）报价×65%；</w:t>
      </w:r>
    </w:p>
    <w:p w14:paraId="3084A8FB">
      <w:pPr>
        <w:numPr>
          <w:ilvl w:val="255"/>
          <w:numId w:val="0"/>
        </w:numPr>
        <w:adjustRightInd w:val="0"/>
        <w:snapToGrid w:val="0"/>
        <w:spacing w:line="360" w:lineRule="auto"/>
        <w:ind w:firstLine="480" w:firstLineChars="200"/>
        <w:rPr>
          <w:rFonts w:hint="eastAsia"/>
          <w:b/>
          <w:bCs/>
          <w:highlight w:val="none"/>
        </w:rPr>
      </w:pPr>
      <w:r>
        <w:rPr>
          <w:rFonts w:hint="eastAsia"/>
          <w:b/>
          <w:bCs/>
          <w:highlight w:val="none"/>
        </w:rPr>
        <w:t>③投标（响应）报价低于采购项目最高限价65%的，即投标（响应）报价&lt;采购项目最高限价×65%；</w:t>
      </w:r>
    </w:p>
    <w:p w14:paraId="6C536F83">
      <w:pPr>
        <w:numPr>
          <w:ilvl w:val="255"/>
          <w:numId w:val="0"/>
        </w:numPr>
        <w:adjustRightInd w:val="0"/>
        <w:snapToGrid w:val="0"/>
        <w:spacing w:line="360" w:lineRule="auto"/>
        <w:ind w:firstLine="480" w:firstLineChars="200"/>
        <w:rPr>
          <w:rFonts w:hint="eastAsia"/>
          <w:b/>
          <w:bCs/>
          <w:highlight w:val="none"/>
        </w:rPr>
      </w:pPr>
      <w:r>
        <w:rPr>
          <w:rFonts w:hint="eastAsia"/>
          <w:b/>
          <w:bCs/>
          <w:highlight w:val="none"/>
        </w:rPr>
        <w:t>④评审委员会基于专业判断，认为供应商报价过低，有可能影响产品质量或者不能诚信履约的其他情形。</w:t>
      </w:r>
    </w:p>
    <w:p w14:paraId="57E9D59F">
      <w:pPr>
        <w:numPr>
          <w:ilvl w:val="255"/>
          <w:numId w:val="0"/>
        </w:numPr>
        <w:adjustRightInd w:val="0"/>
        <w:snapToGrid w:val="0"/>
        <w:spacing w:line="360" w:lineRule="auto"/>
        <w:ind w:firstLine="480" w:firstLineChars="200"/>
        <w:rPr>
          <w:rFonts w:hint="eastAsia"/>
          <w:b/>
          <w:bCs/>
          <w:highlight w:val="none"/>
        </w:rPr>
      </w:pPr>
      <w:r>
        <w:rPr>
          <w:rFonts w:hint="eastAsia"/>
          <w:b/>
          <w:bCs/>
          <w:highlight w:val="none"/>
        </w:rPr>
        <w:t>评审委员会启动异常低价投标（响应）审查后，相关供应商在评审现场自接到评标委员会的澄清要求后30分钟内对投标（响应）价格作出解释，并提供项目具体成本测算等与报价合理性相关的书面说明及必要的证明材料，包括但不限于原材料成本、人工成本、制造费用等。</w:t>
      </w:r>
    </w:p>
    <w:p w14:paraId="40B5174B">
      <w:pPr>
        <w:numPr>
          <w:ilvl w:val="255"/>
          <w:numId w:val="0"/>
        </w:numPr>
        <w:adjustRightInd w:val="0"/>
        <w:snapToGrid w:val="0"/>
        <w:spacing w:line="360" w:lineRule="auto"/>
        <w:ind w:firstLine="480" w:firstLineChars="200"/>
        <w:rPr>
          <w:rFonts w:hint="eastAsia"/>
          <w:b/>
          <w:bCs/>
          <w:highlight w:val="none"/>
        </w:rPr>
      </w:pPr>
      <w:r>
        <w:rPr>
          <w:rFonts w:hint="eastAsia"/>
          <w:b/>
          <w:bCs/>
          <w:highlight w:val="none"/>
        </w:rPr>
        <w:t>评审委员会依据专业经验，参考同类项目中标（成交）价格、类似产品市场价格水平、行业人工费用标准、国家有关部门指 导行业协会发布的行业平均成本等情况，对报价合理性进行判断。投标（响应）供应商不能提供书面说明、证明材料，或者提供的 书面说明、证明材料不能证明其报价合理性的，评审委员会应当将其作为无效投标（响应）处理。</w:t>
      </w:r>
    </w:p>
    <w:p w14:paraId="7E4B6C9D">
      <w:pPr>
        <w:adjustRightInd w:val="0"/>
        <w:snapToGrid w:val="0"/>
        <w:spacing w:line="360" w:lineRule="auto"/>
        <w:ind w:firstLine="480" w:firstLineChars="200"/>
        <w:rPr>
          <w:rFonts w:hint="eastAsia"/>
          <w:b/>
          <w:bCs/>
          <w:highlight w:val="none"/>
        </w:rPr>
      </w:pPr>
      <w:r>
        <w:rPr>
          <w:rFonts w:hint="eastAsia"/>
          <w:highlight w:val="none"/>
        </w:rPr>
        <w:t>4、</w:t>
      </w:r>
      <w:r>
        <w:rPr>
          <w:rFonts w:hint="eastAsia"/>
          <w:b/>
          <w:bCs/>
          <w:highlight w:val="none"/>
        </w:rPr>
        <w:t>对最后报价，采购单位不接受可选择的报价方案和报价。</w:t>
      </w:r>
    </w:p>
    <w:p w14:paraId="2E92B11B">
      <w:pPr>
        <w:pStyle w:val="3"/>
        <w:spacing w:before="468" w:beforeLines="150" w:after="312" w:afterLines="100" w:line="360" w:lineRule="auto"/>
        <w:jc w:val="both"/>
        <w:rPr>
          <w:rFonts w:hint="eastAsia" w:ascii="宋体" w:hAnsi="宋体"/>
          <w:highlight w:val="none"/>
        </w:rPr>
      </w:pPr>
      <w:bookmarkStart w:id="91" w:name="_Toc72335524"/>
      <w:bookmarkStart w:id="92" w:name="_Toc415478499"/>
      <w:bookmarkStart w:id="93" w:name="_Toc457852012"/>
      <w:r>
        <w:rPr>
          <w:rFonts w:hint="eastAsia" w:ascii="宋体" w:hAnsi="宋体"/>
          <w:sz w:val="28"/>
          <w:szCs w:val="28"/>
          <w:highlight w:val="none"/>
        </w:rPr>
        <w:t>二、评审方法及标准</w:t>
      </w:r>
      <w:bookmarkEnd w:id="91"/>
      <w:bookmarkEnd w:id="92"/>
      <w:bookmarkEnd w:id="93"/>
    </w:p>
    <w:p w14:paraId="4CA12C34">
      <w:pPr>
        <w:spacing w:line="360" w:lineRule="auto"/>
        <w:ind w:firstLine="470" w:firstLineChars="196"/>
        <w:rPr>
          <w:rFonts w:hint="eastAsia"/>
          <w:b/>
          <w:highlight w:val="none"/>
        </w:rPr>
      </w:pPr>
      <w:r>
        <w:rPr>
          <w:rFonts w:hint="eastAsia"/>
          <w:b/>
          <w:highlight w:val="none"/>
        </w:rPr>
        <w:t>（一）</w:t>
      </w:r>
      <w:r>
        <w:rPr>
          <w:b/>
          <w:highlight w:val="none"/>
        </w:rPr>
        <w:t>评</w:t>
      </w:r>
      <w:r>
        <w:rPr>
          <w:rFonts w:hint="eastAsia"/>
          <w:b/>
          <w:highlight w:val="none"/>
        </w:rPr>
        <w:t>审总则</w:t>
      </w:r>
    </w:p>
    <w:p w14:paraId="5E29A719">
      <w:pPr>
        <w:pStyle w:val="79"/>
        <w:ind w:firstLine="480"/>
        <w:rPr>
          <w:rFonts w:hint="eastAsia"/>
          <w:highlight w:val="none"/>
        </w:rPr>
      </w:pPr>
      <w:r>
        <w:rPr>
          <w:rFonts w:hint="eastAsia"/>
          <w:highlight w:val="none"/>
        </w:rPr>
        <w:t>第一条  本项目依据《中华人民共和国政府采购法》、</w:t>
      </w:r>
      <w:r>
        <w:rPr>
          <w:highlight w:val="none"/>
        </w:rPr>
        <w:t>《政府采购</w:t>
      </w:r>
      <w:r>
        <w:rPr>
          <w:rFonts w:hint="eastAsia"/>
          <w:highlight w:val="none"/>
        </w:rPr>
        <w:t>竞争</w:t>
      </w:r>
      <w:r>
        <w:rPr>
          <w:highlight w:val="none"/>
        </w:rPr>
        <w:t>性磋商采购方式</w:t>
      </w:r>
      <w:r>
        <w:rPr>
          <w:rFonts w:hint="eastAsia"/>
          <w:highlight w:val="none"/>
        </w:rPr>
        <w:t>管理暂行办</w:t>
      </w:r>
      <w:r>
        <w:rPr>
          <w:highlight w:val="none"/>
        </w:rPr>
        <w:t>法》</w:t>
      </w:r>
      <w:r>
        <w:rPr>
          <w:rFonts w:hint="eastAsia"/>
          <w:highlight w:val="none"/>
        </w:rPr>
        <w:t>及相应法规、文件，本着公开、公正、公平、科学合理、反不正当竞争的原则，制定评审方法及标准。</w:t>
      </w:r>
    </w:p>
    <w:p w14:paraId="7EFC4C9C">
      <w:pPr>
        <w:spacing w:line="360" w:lineRule="auto"/>
        <w:ind w:firstLine="470" w:firstLineChars="196"/>
        <w:rPr>
          <w:rFonts w:hint="eastAsia"/>
          <w:b/>
          <w:highlight w:val="none"/>
        </w:rPr>
      </w:pPr>
      <w:r>
        <w:rPr>
          <w:rFonts w:hint="eastAsia"/>
          <w:highlight w:val="none"/>
        </w:rPr>
        <w:t>第二条  评审工作由评审专家和采购人代表组成的竞争性磋商小组承担。竞争性磋商小组由采购人代表和有关专家共三人以上的单数组成，其中，专家的人数不少于成员总数的三分之二。</w:t>
      </w:r>
    </w:p>
    <w:p w14:paraId="3013F768">
      <w:pPr>
        <w:spacing w:line="360" w:lineRule="auto"/>
        <w:ind w:firstLine="480" w:firstLineChars="200"/>
        <w:rPr>
          <w:rFonts w:hint="eastAsia"/>
          <w:highlight w:val="none"/>
        </w:rPr>
      </w:pPr>
      <w:r>
        <w:rPr>
          <w:rFonts w:hint="eastAsia"/>
          <w:highlight w:val="none"/>
        </w:rPr>
        <w:t>第三条  竞争性磋商小组成员应当按照客观、公正、审慎的原则，根据竞争性磋商文件规定的评审程序、评审方法和评审标准进行独立评审。</w:t>
      </w:r>
    </w:p>
    <w:p w14:paraId="090718A4">
      <w:pPr>
        <w:spacing w:line="360" w:lineRule="auto"/>
        <w:ind w:firstLine="480" w:firstLineChars="200"/>
        <w:rPr>
          <w:rFonts w:hint="eastAsia"/>
          <w:highlight w:val="none"/>
        </w:rPr>
      </w:pPr>
      <w:r>
        <w:rPr>
          <w:rFonts w:hint="eastAsia"/>
          <w:highlight w:val="none"/>
        </w:rPr>
        <w:t>第四条  竞争性磋商小组</w:t>
      </w:r>
      <w:r>
        <w:rPr>
          <w:highlight w:val="none"/>
        </w:rPr>
        <w:t>将综合分析</w:t>
      </w:r>
      <w:r>
        <w:rPr>
          <w:rFonts w:hint="eastAsia"/>
          <w:highlight w:val="none"/>
        </w:rPr>
        <w:t>报价人</w:t>
      </w:r>
      <w:r>
        <w:rPr>
          <w:highlight w:val="none"/>
        </w:rPr>
        <w:t>的各项指标，而不以单项指标的优劣评选出预</w:t>
      </w:r>
      <w:r>
        <w:rPr>
          <w:rFonts w:hint="eastAsia"/>
          <w:highlight w:val="none"/>
        </w:rPr>
        <w:t>成交人</w:t>
      </w:r>
      <w:r>
        <w:rPr>
          <w:highlight w:val="none"/>
        </w:rPr>
        <w:t>。</w:t>
      </w:r>
    </w:p>
    <w:p w14:paraId="70490678">
      <w:pPr>
        <w:pStyle w:val="23"/>
        <w:rPr>
          <w:rFonts w:hint="eastAsia"/>
          <w:highlight w:val="none"/>
        </w:rPr>
      </w:pPr>
    </w:p>
    <w:p w14:paraId="3C8A20F4">
      <w:pPr>
        <w:pStyle w:val="23"/>
        <w:rPr>
          <w:rFonts w:hint="eastAsia"/>
          <w:highlight w:val="none"/>
        </w:rPr>
      </w:pPr>
    </w:p>
    <w:p w14:paraId="1A1F181F">
      <w:pPr>
        <w:adjustRightInd w:val="0"/>
        <w:snapToGrid w:val="0"/>
        <w:spacing w:line="360" w:lineRule="auto"/>
        <w:ind w:right="-11" w:firstLine="470" w:firstLineChars="196"/>
        <w:rPr>
          <w:rFonts w:hint="eastAsia"/>
          <w:highlight w:val="none"/>
        </w:rPr>
      </w:pPr>
      <w:bookmarkStart w:id="94" w:name="_Toc360545786"/>
      <w:bookmarkStart w:id="95" w:name="_Toc326336888"/>
      <w:r>
        <w:rPr>
          <w:rFonts w:hint="eastAsia"/>
          <w:b/>
          <w:bCs/>
          <w:highlight w:val="none"/>
        </w:rPr>
        <w:t>（二）评审办法：</w:t>
      </w:r>
      <w:bookmarkEnd w:id="94"/>
      <w:bookmarkEnd w:id="95"/>
    </w:p>
    <w:p w14:paraId="35ED0AD2">
      <w:pPr>
        <w:spacing w:line="360" w:lineRule="auto"/>
        <w:rPr>
          <w:rFonts w:hint="eastAsia"/>
          <w:sz w:val="40"/>
          <w:highlight w:val="none"/>
        </w:rPr>
      </w:pPr>
      <w:r>
        <w:rPr>
          <w:rFonts w:hint="eastAsia"/>
          <w:highlight w:val="none"/>
        </w:rPr>
        <w:t>本项目采用百分制综合评分法进行评审，即在最大限度地满足竞争性磋商文件实质性要求前提下，按照竞争性磋商文件中规定的各项因素进行综合评审后，以评审得分最高的报价人作为成交供应商的评审办法。</w:t>
      </w:r>
      <w:bookmarkStart w:id="96" w:name="_Toc4279"/>
      <w:bookmarkStart w:id="97" w:name="_Toc72335525"/>
      <w:bookmarkStart w:id="98" w:name="_Toc415478500"/>
      <w:bookmarkStart w:id="99" w:name="_Toc29357077"/>
      <w:bookmarkStart w:id="100" w:name="_Toc78603129"/>
    </w:p>
    <w:tbl>
      <w:tblPr>
        <w:tblStyle w:val="3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0"/>
        <w:gridCol w:w="830"/>
        <w:gridCol w:w="831"/>
        <w:gridCol w:w="831"/>
        <w:gridCol w:w="939"/>
        <w:gridCol w:w="5021"/>
      </w:tblGrid>
      <w:tr w14:paraId="7BE06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0B4D3">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115E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评分内容</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C105B">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因素</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92D2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类型</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F4A1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分值（分）</w:t>
            </w:r>
          </w:p>
        </w:tc>
        <w:tc>
          <w:tcPr>
            <w:tcW w:w="2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B946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评  分  标  准</w:t>
            </w:r>
          </w:p>
        </w:tc>
      </w:tr>
      <w:tr w14:paraId="15832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CB4B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7AE3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报价</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CC98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报价得分</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72E2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客观分</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B9E7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w:t>
            </w:r>
          </w:p>
        </w:tc>
        <w:tc>
          <w:tcPr>
            <w:tcW w:w="2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F5A9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1.满足招标文件要求且最终报价最低的投标报价为基准价，其价格分为满分15分。其他投标人的得分按如下方式计算：</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报价分＝15×（评标基准价/最终报价）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根据《财政部司法部关于政府采购支持监狱企业发展有关问题的通知》和《财政部民政部中国残疾人联合会关于促进残疾人就业政府采购政策的通知》的规定，投标人在投标文件中提供福利企业或监狱企业证明资料的视为小、微型企业。</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中小企业性质认定按上海市财政局关于印发《上海市政府采购促进中小企业发展实施办法》的通知（沪财发﹝2022﹞1号）、《关于进一步加大政府采购支持中小企业力度的通知》（财库〔2022〕19号）、关于印发《政府采购促进中小企业发展管理办法》（财库【2020】46号）等相关文件执行。</w:t>
            </w:r>
          </w:p>
        </w:tc>
      </w:tr>
      <w:tr w14:paraId="6BEE6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7B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5D3E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项目经验</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FC2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项目经验</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BD52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客观分</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4F95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2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23AA8">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2023年1月1日至今同类项目业绩，需同时提供合同及对应项目的任一笔付款发票，否则不得分，每提供一个得1.5分。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合同认定以合同签订时间为准，合同中未显示签订时间的请提供辅证，提供的证明材料无法认定业绩的或未按要求提供证明的均不得分。</w:t>
            </w:r>
          </w:p>
        </w:tc>
      </w:tr>
      <w:tr w14:paraId="44F8B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45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3610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4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596A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技术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服务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方案</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0421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重难点分析</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D9F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主观分</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1EA8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2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EFB2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梳理分析本项目过程中的重点和难点。</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重难点分析与本项目实际服务内容匹配，提出有效解决重难点的措施得4-5分；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重难点分析与本项目实际服务内容基本匹配，提出的措施能基本上解决重难点问题得2-3分；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难点分析未围绕本项目实际情况分析且未提供有效的重难点解决措施得0-1分。</w:t>
            </w:r>
          </w:p>
        </w:tc>
      </w:tr>
      <w:tr w14:paraId="66911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B87FC">
            <w:pPr>
              <w:jc w:val="center"/>
              <w:rPr>
                <w:rFonts w:hint="eastAsia" w:ascii="宋体" w:hAnsi="宋体" w:eastAsia="宋体" w:cs="宋体"/>
                <w:i w:val="0"/>
                <w:iCs w:val="0"/>
                <w:color w:val="000000"/>
                <w:sz w:val="24"/>
                <w:szCs w:val="24"/>
                <w:highlight w:val="none"/>
                <w:u w:val="none"/>
              </w:rPr>
            </w:pPr>
          </w:p>
        </w:tc>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385F1">
            <w:pPr>
              <w:jc w:val="center"/>
              <w:rPr>
                <w:rFonts w:hint="eastAsia" w:ascii="宋体" w:hAnsi="宋体" w:eastAsia="宋体" w:cs="宋体"/>
                <w:i w:val="0"/>
                <w:iCs w:val="0"/>
                <w:color w:val="000000"/>
                <w:sz w:val="24"/>
                <w:szCs w:val="24"/>
                <w:highlight w:val="none"/>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9248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数据梳理和初步研究方案</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8C6F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主观分</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CAA7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2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F3E1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提出数据梳理和初步研究方案（收集处理梳理数据、形成工作技术路线等方面）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服务方案考虑全面，各项服务内容与实际项目内容匹配、高度可靠得5-7分；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服务方案考虑到的方案基本全面，各项服务内容与实际要求基本匹配但仍存在进一步完善空间得3-4分；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服务方案内容简单，服务内容存在明显不足之处求缺失得0-2分。</w:t>
            </w:r>
          </w:p>
        </w:tc>
      </w:tr>
      <w:tr w14:paraId="1B852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A302A">
            <w:pPr>
              <w:jc w:val="center"/>
              <w:rPr>
                <w:rFonts w:hint="eastAsia" w:ascii="宋体" w:hAnsi="宋体" w:eastAsia="宋体" w:cs="宋体"/>
                <w:i w:val="0"/>
                <w:iCs w:val="0"/>
                <w:color w:val="000000"/>
                <w:sz w:val="24"/>
                <w:szCs w:val="24"/>
                <w:highlight w:val="none"/>
                <w:u w:val="none"/>
              </w:rPr>
            </w:pPr>
          </w:p>
        </w:tc>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C6533">
            <w:pPr>
              <w:jc w:val="center"/>
              <w:rPr>
                <w:rFonts w:hint="eastAsia" w:ascii="宋体" w:hAnsi="宋体" w:eastAsia="宋体" w:cs="宋体"/>
                <w:i w:val="0"/>
                <w:iCs w:val="0"/>
                <w:color w:val="000000"/>
                <w:sz w:val="24"/>
                <w:szCs w:val="24"/>
                <w:highlight w:val="none"/>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800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初步成果编制方案</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A3B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主观分</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DCC8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2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732C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提出详细初步成果编制方案（推进需求测算、潜力分析与初步方案等方面）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服务方案考虑全面，各项服务内容与实际项目内容匹配、高度可靠得5-7分；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服务方案考虑到的方案基本全面，各项服务内容与实际要求基本匹配但仍存在进一步完善空间得3-4分；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服务方案内容简单，服务内容存在明显不足之处求缺失得0-2分。</w:t>
            </w:r>
          </w:p>
        </w:tc>
      </w:tr>
      <w:tr w14:paraId="19DC4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27BDF">
            <w:pPr>
              <w:jc w:val="center"/>
              <w:rPr>
                <w:rFonts w:hint="eastAsia" w:ascii="宋体" w:hAnsi="宋体" w:eastAsia="宋体" w:cs="宋体"/>
                <w:i w:val="0"/>
                <w:iCs w:val="0"/>
                <w:color w:val="000000"/>
                <w:sz w:val="24"/>
                <w:szCs w:val="24"/>
                <w:highlight w:val="none"/>
                <w:u w:val="none"/>
              </w:rPr>
            </w:pPr>
          </w:p>
        </w:tc>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09D3B">
            <w:pPr>
              <w:jc w:val="center"/>
              <w:rPr>
                <w:rFonts w:hint="eastAsia" w:ascii="宋体" w:hAnsi="宋体" w:eastAsia="宋体" w:cs="宋体"/>
                <w:i w:val="0"/>
                <w:iCs w:val="0"/>
                <w:color w:val="000000"/>
                <w:sz w:val="24"/>
                <w:szCs w:val="24"/>
                <w:highlight w:val="none"/>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17CE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成果深化与成果编制方案</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7A22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主观分</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CFAE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2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7F19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提出详细成果深化与成果编制方案（组织专家审查、修改完善方案等方面）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服务方案考虑全面，各项服务内容与实际项目内容匹配、高度可靠得5-7分；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服务方案考虑到的方案基本全面，各项服务内容与实际要求基本匹配但仍存在进一步完善空间得3-4分；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服务方案内容简单，服务内容存在明显不足之处求缺失得0-2分。</w:t>
            </w:r>
          </w:p>
        </w:tc>
      </w:tr>
      <w:tr w14:paraId="36E02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1C72D">
            <w:pPr>
              <w:jc w:val="center"/>
              <w:rPr>
                <w:rFonts w:hint="eastAsia" w:ascii="宋体" w:hAnsi="宋体" w:eastAsia="宋体" w:cs="宋体"/>
                <w:i w:val="0"/>
                <w:iCs w:val="0"/>
                <w:color w:val="000000"/>
                <w:sz w:val="24"/>
                <w:szCs w:val="24"/>
                <w:highlight w:val="none"/>
                <w:u w:val="none"/>
              </w:rPr>
            </w:pPr>
          </w:p>
        </w:tc>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C6C11">
            <w:pPr>
              <w:jc w:val="center"/>
              <w:rPr>
                <w:rFonts w:hint="eastAsia" w:ascii="宋体" w:hAnsi="宋体" w:eastAsia="宋体" w:cs="宋体"/>
                <w:i w:val="0"/>
                <w:iCs w:val="0"/>
                <w:color w:val="000000"/>
                <w:sz w:val="24"/>
                <w:szCs w:val="24"/>
                <w:highlight w:val="none"/>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20AA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工作进度计划</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A47B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主观分</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A9E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2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3CF7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提出详细的三个阶段的工作进度计划。</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工作进度计划考虑全面，各项进度安排与实际匹配、高度可靠得4-6分；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工作进度计划基本全面，各项进度安排与实际基本匹配但仍存在进一步完善空间得2-3分；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各项进度安排简单，进度安排存在明显不足之处求缺失得0-1分。</w:t>
            </w:r>
          </w:p>
        </w:tc>
      </w:tr>
      <w:tr w14:paraId="61267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60070">
            <w:pPr>
              <w:jc w:val="center"/>
              <w:rPr>
                <w:rFonts w:hint="eastAsia" w:ascii="宋体" w:hAnsi="宋体" w:eastAsia="宋体" w:cs="宋体"/>
                <w:i w:val="0"/>
                <w:iCs w:val="0"/>
                <w:color w:val="000000"/>
                <w:sz w:val="24"/>
                <w:szCs w:val="24"/>
                <w:highlight w:val="none"/>
                <w:u w:val="none"/>
              </w:rPr>
            </w:pPr>
          </w:p>
        </w:tc>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16360">
            <w:pPr>
              <w:jc w:val="center"/>
              <w:rPr>
                <w:rFonts w:hint="eastAsia" w:ascii="宋体" w:hAnsi="宋体" w:eastAsia="宋体" w:cs="宋体"/>
                <w:i w:val="0"/>
                <w:iCs w:val="0"/>
                <w:color w:val="000000"/>
                <w:sz w:val="24"/>
                <w:szCs w:val="24"/>
                <w:highlight w:val="none"/>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936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服务保证措施</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C2B3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主观分</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32F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2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5B33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提供在服务过程中人身安全、作业安全等方面的服务质量保证措施。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各项措施全面，符合规范，附清晰流程和分工，高度高效的得4-6分。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各项措施基本全面，规范性稍有不足，流程和分工较清晰的得2-3分。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措施缺失关键内容，或流程、分工不清晰的得0-1。</w:t>
            </w:r>
          </w:p>
        </w:tc>
      </w:tr>
      <w:tr w14:paraId="5452D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28D1B">
            <w:pPr>
              <w:jc w:val="center"/>
              <w:rPr>
                <w:rFonts w:hint="eastAsia" w:ascii="宋体" w:hAnsi="宋体" w:eastAsia="宋体" w:cs="宋体"/>
                <w:i w:val="0"/>
                <w:iCs w:val="0"/>
                <w:color w:val="000000"/>
                <w:sz w:val="24"/>
                <w:szCs w:val="24"/>
                <w:highlight w:val="none"/>
                <w:u w:val="none"/>
              </w:rPr>
            </w:pPr>
          </w:p>
        </w:tc>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12746">
            <w:pPr>
              <w:jc w:val="center"/>
              <w:rPr>
                <w:rFonts w:hint="eastAsia" w:ascii="宋体" w:hAnsi="宋体" w:eastAsia="宋体" w:cs="宋体"/>
                <w:i w:val="0"/>
                <w:iCs w:val="0"/>
                <w:color w:val="000000"/>
                <w:sz w:val="24"/>
                <w:szCs w:val="24"/>
                <w:highlight w:val="none"/>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6D4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应急预案</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86A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主观分</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67C7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2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3826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定制各类特殊情况下（比如发生人身安全、天气情况恶劣等）的应急预案、应急准备和处置措施。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预案全面，响应时间高效，责任分工清晰的得4-6分。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预案基本全面，响应时间稍有不足，分工较清晰的得2-3分。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预案缺失关键灾害类型，或资源/分工不清晰的得0-1分。</w:t>
            </w:r>
          </w:p>
        </w:tc>
      </w:tr>
      <w:tr w14:paraId="0DB58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45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1EB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4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8DEF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组织机构</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设置</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2C7A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组织架构、管理制度</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15A6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主观分</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CCC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2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2A6A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管理机构、人员管理制度设置规范，提供相关管理流程规范文件。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组织机构完整，提供详细的规范文件得4-6分。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组织机构设置基本完整但仍存在进一步完善的空间得2-3分。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组织机构设置缺失得0-1分</w:t>
            </w:r>
          </w:p>
        </w:tc>
      </w:tr>
      <w:tr w14:paraId="22BE1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D2E77">
            <w:pPr>
              <w:jc w:val="center"/>
              <w:rPr>
                <w:rFonts w:hint="eastAsia" w:ascii="宋体" w:hAnsi="宋体" w:eastAsia="宋体" w:cs="宋体"/>
                <w:i w:val="0"/>
                <w:iCs w:val="0"/>
                <w:color w:val="000000"/>
                <w:sz w:val="24"/>
                <w:szCs w:val="24"/>
                <w:highlight w:val="none"/>
                <w:u w:val="none"/>
              </w:rPr>
            </w:pPr>
          </w:p>
        </w:tc>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A3A64">
            <w:pPr>
              <w:jc w:val="center"/>
              <w:rPr>
                <w:rFonts w:hint="eastAsia" w:ascii="宋体" w:hAnsi="宋体" w:eastAsia="宋体" w:cs="宋体"/>
                <w:i w:val="0"/>
                <w:iCs w:val="0"/>
                <w:color w:val="000000"/>
                <w:sz w:val="24"/>
                <w:szCs w:val="24"/>
                <w:highlight w:val="none"/>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147B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项目负责人</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6FA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客观分</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8EE4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2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5325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项目负责人具有高级或以上相关专业技术职称或具有注册规划师或注册建筑师等相关执业资格得4分。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需提供项目负责人近三个月内任意一个月在该单位缴纳社保证明及有效证书，否则不得分</w:t>
            </w:r>
          </w:p>
        </w:tc>
      </w:tr>
      <w:tr w14:paraId="09EC9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0" w:hRule="atLeast"/>
        </w:trPr>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727EF">
            <w:pPr>
              <w:jc w:val="center"/>
              <w:rPr>
                <w:rFonts w:hint="eastAsia" w:ascii="宋体" w:hAnsi="宋体" w:eastAsia="宋体" w:cs="宋体"/>
                <w:i w:val="0"/>
                <w:iCs w:val="0"/>
                <w:color w:val="000000"/>
                <w:sz w:val="24"/>
                <w:szCs w:val="24"/>
                <w:highlight w:val="none"/>
                <w:u w:val="none"/>
              </w:rPr>
            </w:pPr>
          </w:p>
        </w:tc>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F225D">
            <w:pPr>
              <w:jc w:val="center"/>
              <w:rPr>
                <w:rFonts w:hint="eastAsia" w:ascii="宋体" w:hAnsi="宋体" w:eastAsia="宋体" w:cs="宋体"/>
                <w:i w:val="0"/>
                <w:iCs w:val="0"/>
                <w:color w:val="000000"/>
                <w:sz w:val="24"/>
                <w:szCs w:val="24"/>
                <w:highlight w:val="none"/>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3033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项目人员配备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4DD6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主观分</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A0D9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2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CDE0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根据投标人拟为本项目投入的人员，综合考虑项目成员的相关资质证书、学历证书、工作经验、工作业绩等综合打分（响应文件中应按上述评审内容要求提供对应证明材料）</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人员配置合理与项目需求相符合得6-8分，人员配置较合理大致与项目需求相符合但仍存在不足之处得3-5分，人员配置存在明显不合理之处得0-2分。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注：投标人需提供所有拟为本项目配备人员近三个月内任意 一个月在该单位缴纳社保证明，都则不得分。</w:t>
            </w:r>
          </w:p>
        </w:tc>
      </w:tr>
      <w:tr w14:paraId="2F303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3D17B">
            <w:pPr>
              <w:jc w:val="center"/>
              <w:rPr>
                <w:rFonts w:hint="eastAsia" w:ascii="宋体" w:hAnsi="宋体" w:eastAsia="宋体" w:cs="宋体"/>
                <w:i w:val="0"/>
                <w:iCs w:val="0"/>
                <w:color w:val="000000"/>
                <w:sz w:val="24"/>
                <w:szCs w:val="24"/>
                <w:highlight w:val="none"/>
                <w:u w:val="none"/>
              </w:rPr>
            </w:pPr>
          </w:p>
        </w:tc>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0B81D">
            <w:pPr>
              <w:jc w:val="center"/>
              <w:rPr>
                <w:rFonts w:hint="eastAsia" w:ascii="宋体" w:hAnsi="宋体" w:eastAsia="宋体" w:cs="宋体"/>
                <w:i w:val="0"/>
                <w:iCs w:val="0"/>
                <w:color w:val="000000"/>
                <w:sz w:val="24"/>
                <w:szCs w:val="24"/>
                <w:highlight w:val="none"/>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B82F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奖罚措施</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993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主观分</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0535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2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1307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提供服务自查自纠措施及奖罚淘汰机制。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提供奖惩措施奖惩措施详细、考虑方面完整得4-6分；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提供奖惩措施奖惩措施内容基本完整，但忍存在进一步完善的空间得2-3分；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奖惩措施描述简单，与实际服务内容不相关得0-1分。</w:t>
            </w:r>
          </w:p>
        </w:tc>
      </w:tr>
      <w:tr w14:paraId="33D4D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E0A4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5B1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服务承诺</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3A0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服务承诺</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941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主观分</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4CFB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2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0241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投标人针对本项目服务要求及服务质量提供服务承诺（包含人身安全承诺、作业安全承诺、项目进度承诺等方面）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投标人提供的服务承诺详细，考虑到的方面完整，与本项目服务内容要求匹配得4-5分；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服务承诺基本与项目服务要求匹配但仍存在进一步完善空间得2-3分；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服务承诺描述简单、考虑方面不全面得0-1分。</w:t>
            </w:r>
          </w:p>
        </w:tc>
      </w:tr>
      <w:tr w14:paraId="7299E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5CF9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F7D4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售后服务</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20A3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服务便捷性</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3AD2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主观分</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5342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2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02DF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评价投标人提供的服务能力在高效便捷方面的表现，重点考察服务的响应速度以及配套设施的完备性与适用性。</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服务能力高效便捷，响应快速，配套设施齐全且高度匹配项目需求，运行稳定，整体服务体验优异的得4-6分。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服务能力较为高效便捷，响应速度基本满足需求，配套设施适用但优化空间有限，整体服务体验有一定提升潜力的得2-3分。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服务能力缺乏高效便捷性，响应速度不足，配套设施不足，难以满足项目需求的得0-1分</w:t>
            </w:r>
          </w:p>
        </w:tc>
      </w:tr>
    </w:tbl>
    <w:p w14:paraId="66F266C2">
      <w:pPr>
        <w:rPr>
          <w:rFonts w:hint="eastAsia"/>
          <w:sz w:val="21"/>
          <w:szCs w:val="21"/>
          <w:highlight w:val="none"/>
        </w:rPr>
      </w:pPr>
      <w:r>
        <w:rPr>
          <w:rFonts w:hint="eastAsia"/>
          <w:sz w:val="21"/>
          <w:szCs w:val="21"/>
          <w:highlight w:val="none"/>
        </w:rPr>
        <w:t>注：评分细则中的每档重叠分值包含于低档评分项中，未提供的内容得0分。</w:t>
      </w:r>
    </w:p>
    <w:p w14:paraId="0A55128B">
      <w:pPr>
        <w:rPr>
          <w:rFonts w:hint="eastAsia"/>
          <w:sz w:val="21"/>
          <w:szCs w:val="21"/>
          <w:highlight w:val="none"/>
        </w:rPr>
      </w:pPr>
      <w:r>
        <w:rPr>
          <w:rFonts w:hint="eastAsia"/>
          <w:sz w:val="21"/>
          <w:szCs w:val="21"/>
          <w:highlight w:val="none"/>
          <w:lang w:val="en-US" w:eastAsia="zh-CN"/>
        </w:rPr>
        <w:t>上述评分细则中的</w:t>
      </w:r>
      <w:r>
        <w:rPr>
          <w:rFonts w:hint="eastAsia"/>
          <w:sz w:val="21"/>
          <w:szCs w:val="21"/>
          <w:highlight w:val="none"/>
        </w:rPr>
        <w:t>缺陷</w:t>
      </w:r>
      <w:r>
        <w:rPr>
          <w:rFonts w:hint="eastAsia"/>
          <w:sz w:val="21"/>
          <w:szCs w:val="21"/>
          <w:highlight w:val="none"/>
          <w:lang w:val="en-US" w:eastAsia="zh-CN"/>
        </w:rPr>
        <w:t>或缺失</w:t>
      </w:r>
      <w:r>
        <w:rPr>
          <w:rFonts w:hint="eastAsia"/>
          <w:sz w:val="21"/>
          <w:szCs w:val="21"/>
          <w:highlight w:val="none"/>
        </w:rPr>
        <w:t>是指存在内容不完整、与本项目需求无关、方案内容矛盾或表述前后不一致、仅有框架或标题、适用的标准（方法）错误、明显复制其他项目内容等等任意一种情形</w:t>
      </w:r>
      <w:r>
        <w:rPr>
          <w:rFonts w:hint="eastAsia"/>
          <w:sz w:val="21"/>
          <w:szCs w:val="21"/>
          <w:highlight w:val="none"/>
          <w:lang w:eastAsia="zh-CN"/>
        </w:rPr>
        <w:t>。</w:t>
      </w:r>
    </w:p>
    <w:p w14:paraId="148A3618">
      <w:pPr>
        <w:rPr>
          <w:rFonts w:hint="eastAsia"/>
          <w:sz w:val="40"/>
          <w:highlight w:val="none"/>
        </w:rPr>
      </w:pPr>
      <w:r>
        <w:rPr>
          <w:rFonts w:hint="eastAsia"/>
          <w:sz w:val="40"/>
          <w:highlight w:val="none"/>
        </w:rPr>
        <w:br w:type="page"/>
      </w:r>
    </w:p>
    <w:p w14:paraId="154A065F">
      <w:pPr>
        <w:spacing w:line="360" w:lineRule="auto"/>
        <w:rPr>
          <w:rFonts w:hint="eastAsia"/>
          <w:sz w:val="40"/>
          <w:highlight w:val="none"/>
        </w:rPr>
      </w:pPr>
    </w:p>
    <w:p w14:paraId="53E32135">
      <w:pPr>
        <w:pStyle w:val="2"/>
        <w:spacing w:line="360" w:lineRule="auto"/>
        <w:rPr>
          <w:rFonts w:hint="eastAsia"/>
          <w:highlight w:val="none"/>
        </w:rPr>
      </w:pPr>
      <w:r>
        <w:rPr>
          <w:rFonts w:hint="eastAsia"/>
          <w:spacing w:val="0"/>
          <w:sz w:val="40"/>
          <w:highlight w:val="none"/>
        </w:rPr>
        <w:t>第五部分  响应文件格式</w:t>
      </w:r>
      <w:bookmarkEnd w:id="96"/>
      <w:bookmarkEnd w:id="97"/>
      <w:bookmarkEnd w:id="98"/>
    </w:p>
    <w:p w14:paraId="4B7DDF05">
      <w:pPr>
        <w:pStyle w:val="3"/>
        <w:spacing w:before="468" w:beforeLines="150" w:after="312" w:afterLines="100" w:line="360" w:lineRule="auto"/>
        <w:jc w:val="both"/>
        <w:rPr>
          <w:rFonts w:hint="eastAsia" w:ascii="宋体" w:hAnsi="宋体"/>
          <w:highlight w:val="none"/>
        </w:rPr>
      </w:pPr>
      <w:bookmarkStart w:id="101" w:name="_Toc457852014"/>
      <w:bookmarkStart w:id="102" w:name="_Toc415478501"/>
      <w:bookmarkStart w:id="103" w:name="_Toc72335526"/>
      <w:r>
        <w:rPr>
          <w:rFonts w:hint="eastAsia" w:ascii="宋体" w:hAnsi="宋体"/>
          <w:sz w:val="28"/>
          <w:szCs w:val="28"/>
          <w:highlight w:val="none"/>
        </w:rPr>
        <w:t>报价人提交文件须知</w:t>
      </w:r>
      <w:bookmarkEnd w:id="101"/>
      <w:bookmarkEnd w:id="102"/>
      <w:bookmarkEnd w:id="103"/>
    </w:p>
    <w:p w14:paraId="36E1AAD1">
      <w:pPr>
        <w:pStyle w:val="79"/>
        <w:ind w:firstLine="480"/>
        <w:rPr>
          <w:rFonts w:hint="eastAsia"/>
          <w:highlight w:val="none"/>
        </w:rPr>
      </w:pPr>
      <w:r>
        <w:rPr>
          <w:rFonts w:hint="eastAsia"/>
          <w:highlight w:val="none"/>
        </w:rPr>
        <w:t>1.报价人应按照以下内容填写和提交下述规定的全部格式文件，本文件规定提交的其他有关资料未给出格式文件的，由报价人自行设计编写。混乱的编排导致响应文件被误读或查找不到，后果由报价人承担。</w:t>
      </w:r>
    </w:p>
    <w:p w14:paraId="0A62F244">
      <w:pPr>
        <w:pStyle w:val="79"/>
        <w:ind w:firstLine="480"/>
        <w:rPr>
          <w:rFonts w:hint="eastAsia"/>
          <w:highlight w:val="none"/>
        </w:rPr>
      </w:pPr>
      <w:r>
        <w:rPr>
          <w:rFonts w:hint="eastAsia"/>
          <w:highlight w:val="none"/>
        </w:rPr>
        <w:t>2.所附表格中要求回答的全部问题和信息都必须正面回答。</w:t>
      </w:r>
    </w:p>
    <w:p w14:paraId="10F4C21E">
      <w:pPr>
        <w:pStyle w:val="79"/>
        <w:ind w:firstLine="480"/>
        <w:rPr>
          <w:rFonts w:hint="eastAsia"/>
          <w:highlight w:val="none"/>
        </w:rPr>
      </w:pPr>
      <w:r>
        <w:rPr>
          <w:rFonts w:hint="eastAsia"/>
          <w:highlight w:val="none"/>
        </w:rPr>
        <w:t>3.本资格声明的签字人应保证全部声明和问题的回答是真实的和准确的。</w:t>
      </w:r>
    </w:p>
    <w:p w14:paraId="18C7C135">
      <w:pPr>
        <w:pStyle w:val="79"/>
        <w:ind w:firstLine="480"/>
        <w:rPr>
          <w:rFonts w:hint="eastAsia"/>
          <w:b/>
          <w:highlight w:val="none"/>
        </w:rPr>
      </w:pPr>
      <w:r>
        <w:rPr>
          <w:rFonts w:hint="eastAsia"/>
          <w:highlight w:val="none"/>
        </w:rPr>
        <w:t>4．报价人提交的材料将被保密保存，但不退还。</w:t>
      </w:r>
    </w:p>
    <w:p w14:paraId="424BCC98">
      <w:pPr>
        <w:pStyle w:val="79"/>
        <w:ind w:firstLine="480"/>
        <w:rPr>
          <w:rFonts w:hint="eastAsia"/>
          <w:highlight w:val="none"/>
        </w:rPr>
      </w:pPr>
      <w:r>
        <w:rPr>
          <w:rFonts w:hint="eastAsia"/>
          <w:highlight w:val="none"/>
        </w:rPr>
        <w:t>5.全部文件应按报价须知中规定的语言和份数提交。</w:t>
      </w:r>
    </w:p>
    <w:bookmarkEnd w:id="99"/>
    <w:bookmarkEnd w:id="100"/>
    <w:p w14:paraId="70F4C1DA">
      <w:pPr>
        <w:spacing w:line="360" w:lineRule="auto"/>
        <w:rPr>
          <w:rFonts w:hint="eastAsia"/>
          <w:szCs w:val="32"/>
          <w:highlight w:val="none"/>
        </w:rPr>
      </w:pPr>
      <w:r>
        <w:rPr>
          <w:highlight w:val="none"/>
        </w:rPr>
        <w:br w:type="page"/>
      </w:r>
      <w:bookmarkStart w:id="104" w:name="_Toc115756054"/>
      <w:bookmarkStart w:id="105" w:name="_Toc72335527"/>
      <w:bookmarkStart w:id="106" w:name="_Toc415478502"/>
      <w:bookmarkStart w:id="107" w:name="_Toc457852015"/>
      <w:bookmarkStart w:id="108" w:name="_Toc186211081"/>
      <w:bookmarkStart w:id="109" w:name="_Toc241580749"/>
      <w:bookmarkStart w:id="110" w:name="_Toc182152354"/>
      <w:r>
        <w:rPr>
          <w:rFonts w:hint="eastAsia"/>
          <w:szCs w:val="32"/>
          <w:highlight w:val="none"/>
        </w:rPr>
        <w:t>（封面）</w:t>
      </w:r>
      <w:bookmarkEnd w:id="104"/>
      <w:bookmarkEnd w:id="105"/>
      <w:bookmarkEnd w:id="106"/>
      <w:bookmarkEnd w:id="107"/>
    </w:p>
    <w:p w14:paraId="78BDB1D7">
      <w:pPr>
        <w:pStyle w:val="60"/>
        <w:spacing w:line="360" w:lineRule="auto"/>
        <w:jc w:val="both"/>
        <w:rPr>
          <w:rFonts w:hint="eastAsia" w:ascii="宋体" w:hAnsi="宋体"/>
          <w:b/>
          <w:sz w:val="24"/>
          <w:highlight w:val="none"/>
        </w:rPr>
      </w:pPr>
    </w:p>
    <w:p w14:paraId="205C89CE">
      <w:pPr>
        <w:pStyle w:val="60"/>
        <w:spacing w:line="360" w:lineRule="auto"/>
        <w:rPr>
          <w:rFonts w:hint="eastAsia" w:ascii="宋体" w:hAnsi="宋体"/>
          <w:b/>
          <w:sz w:val="24"/>
          <w:highlight w:val="none"/>
        </w:rPr>
      </w:pPr>
    </w:p>
    <w:p w14:paraId="191F71B0">
      <w:pPr>
        <w:pStyle w:val="60"/>
        <w:spacing w:line="360" w:lineRule="auto"/>
        <w:rPr>
          <w:rFonts w:hint="eastAsia" w:ascii="宋体" w:hAnsi="宋体"/>
          <w:b/>
          <w:sz w:val="24"/>
          <w:highlight w:val="none"/>
        </w:rPr>
      </w:pPr>
    </w:p>
    <w:p w14:paraId="66593C36">
      <w:pPr>
        <w:pStyle w:val="60"/>
        <w:spacing w:line="360" w:lineRule="auto"/>
        <w:rPr>
          <w:rFonts w:hint="eastAsia" w:ascii="宋体" w:hAnsi="宋体"/>
          <w:b/>
          <w:sz w:val="72"/>
          <w:highlight w:val="none"/>
        </w:rPr>
      </w:pPr>
      <w:r>
        <w:rPr>
          <w:rFonts w:hint="eastAsia" w:ascii="宋体" w:hAnsi="宋体"/>
          <w:b/>
          <w:sz w:val="72"/>
          <w:highlight w:val="none"/>
        </w:rPr>
        <w:t>响应文 件</w:t>
      </w:r>
    </w:p>
    <w:p w14:paraId="0867C434">
      <w:pPr>
        <w:pStyle w:val="60"/>
        <w:spacing w:line="360" w:lineRule="auto"/>
        <w:jc w:val="both"/>
        <w:rPr>
          <w:rFonts w:hint="eastAsia" w:ascii="宋体" w:hAnsi="宋体"/>
          <w:b/>
          <w:sz w:val="24"/>
          <w:highlight w:val="none"/>
        </w:rPr>
      </w:pPr>
    </w:p>
    <w:p w14:paraId="0FDEB78A">
      <w:pPr>
        <w:pStyle w:val="60"/>
        <w:spacing w:line="360" w:lineRule="auto"/>
        <w:jc w:val="both"/>
        <w:rPr>
          <w:rFonts w:hint="eastAsia" w:ascii="宋体" w:hAnsi="宋体"/>
          <w:b/>
          <w:sz w:val="24"/>
          <w:highlight w:val="none"/>
        </w:rPr>
      </w:pPr>
    </w:p>
    <w:p w14:paraId="6E33E8E5">
      <w:pPr>
        <w:spacing w:line="360" w:lineRule="auto"/>
        <w:ind w:firstLine="2240" w:firstLineChars="800"/>
        <w:rPr>
          <w:rFonts w:hint="eastAsia"/>
          <w:b/>
          <w:sz w:val="28"/>
          <w:szCs w:val="28"/>
          <w:highlight w:val="none"/>
          <w:u w:val="single"/>
        </w:rPr>
      </w:pPr>
      <w:r>
        <w:rPr>
          <w:rFonts w:hint="eastAsia"/>
          <w:b/>
          <w:sz w:val="28"/>
          <w:szCs w:val="28"/>
          <w:highlight w:val="none"/>
        </w:rPr>
        <w:t>采购项目：</w:t>
      </w:r>
    </w:p>
    <w:p w14:paraId="587A8922">
      <w:pPr>
        <w:spacing w:line="360" w:lineRule="auto"/>
        <w:ind w:firstLine="2240" w:firstLineChars="800"/>
        <w:rPr>
          <w:rFonts w:hint="eastAsia"/>
          <w:b/>
          <w:bCs/>
          <w:sz w:val="28"/>
          <w:szCs w:val="28"/>
          <w:highlight w:val="none"/>
        </w:rPr>
      </w:pPr>
    </w:p>
    <w:p w14:paraId="6FEBC593">
      <w:pPr>
        <w:pStyle w:val="60"/>
        <w:spacing w:after="0" w:line="360" w:lineRule="auto"/>
        <w:ind w:firstLine="2240" w:firstLineChars="800"/>
        <w:jc w:val="both"/>
        <w:rPr>
          <w:rFonts w:hint="eastAsia" w:ascii="宋体" w:hAnsi="宋体"/>
          <w:b/>
          <w:sz w:val="28"/>
          <w:szCs w:val="28"/>
          <w:highlight w:val="none"/>
        </w:rPr>
      </w:pPr>
      <w:r>
        <w:rPr>
          <w:rFonts w:hint="eastAsia" w:ascii="宋体" w:hAnsi="宋体"/>
          <w:b/>
          <w:sz w:val="28"/>
          <w:szCs w:val="28"/>
          <w:highlight w:val="none"/>
        </w:rPr>
        <w:t>项目编号：</w:t>
      </w:r>
    </w:p>
    <w:p w14:paraId="43078BA4">
      <w:pPr>
        <w:pStyle w:val="73"/>
        <w:spacing w:line="360" w:lineRule="auto"/>
        <w:rPr>
          <w:rFonts w:hint="eastAsia"/>
          <w:b/>
          <w:highlight w:val="none"/>
        </w:rPr>
      </w:pPr>
    </w:p>
    <w:p w14:paraId="1384FA82">
      <w:pPr>
        <w:pStyle w:val="73"/>
        <w:spacing w:line="360" w:lineRule="auto"/>
        <w:rPr>
          <w:rFonts w:hint="eastAsia"/>
          <w:b/>
          <w:highlight w:val="none"/>
        </w:rPr>
      </w:pPr>
    </w:p>
    <w:p w14:paraId="6F8AFE3A">
      <w:pPr>
        <w:pStyle w:val="73"/>
        <w:spacing w:line="360" w:lineRule="auto"/>
        <w:rPr>
          <w:rFonts w:hint="eastAsia"/>
          <w:sz w:val="28"/>
          <w:highlight w:val="none"/>
          <w:u w:val="single"/>
        </w:rPr>
      </w:pPr>
      <w:r>
        <w:rPr>
          <w:rFonts w:hint="eastAsia"/>
          <w:sz w:val="28"/>
          <w:highlight w:val="none"/>
        </w:rPr>
        <w:t>报价人全称：</w:t>
      </w:r>
    </w:p>
    <w:p w14:paraId="4247EF55">
      <w:pPr>
        <w:pStyle w:val="73"/>
        <w:spacing w:line="360" w:lineRule="auto"/>
        <w:rPr>
          <w:rFonts w:hint="eastAsia"/>
          <w:sz w:val="28"/>
          <w:highlight w:val="none"/>
        </w:rPr>
      </w:pPr>
      <w:r>
        <w:rPr>
          <w:rFonts w:hint="eastAsia"/>
          <w:sz w:val="28"/>
          <w:highlight w:val="none"/>
        </w:rPr>
        <w:t>（盖章）</w:t>
      </w:r>
    </w:p>
    <w:p w14:paraId="5CB557E2">
      <w:pPr>
        <w:pStyle w:val="73"/>
        <w:spacing w:line="360" w:lineRule="auto"/>
        <w:rPr>
          <w:rFonts w:hint="eastAsia"/>
          <w:sz w:val="28"/>
          <w:highlight w:val="none"/>
          <w:u w:val="single"/>
        </w:rPr>
      </w:pPr>
      <w:r>
        <w:rPr>
          <w:rFonts w:hint="eastAsia"/>
          <w:sz w:val="28"/>
          <w:highlight w:val="none"/>
        </w:rPr>
        <w:t>供应商负责人：</w:t>
      </w:r>
    </w:p>
    <w:p w14:paraId="33F9684C">
      <w:pPr>
        <w:pStyle w:val="73"/>
        <w:spacing w:line="360" w:lineRule="auto"/>
        <w:rPr>
          <w:rFonts w:hint="eastAsia"/>
          <w:sz w:val="28"/>
          <w:highlight w:val="none"/>
        </w:rPr>
      </w:pPr>
      <w:r>
        <w:rPr>
          <w:rFonts w:hint="eastAsia"/>
          <w:sz w:val="28"/>
          <w:highlight w:val="none"/>
        </w:rPr>
        <w:t>（签字或盖章）</w:t>
      </w:r>
    </w:p>
    <w:p w14:paraId="0222F45E">
      <w:pPr>
        <w:pStyle w:val="73"/>
        <w:spacing w:line="360" w:lineRule="auto"/>
        <w:rPr>
          <w:rFonts w:hint="eastAsia"/>
          <w:sz w:val="28"/>
          <w:highlight w:val="none"/>
          <w:u w:val="single"/>
        </w:rPr>
      </w:pPr>
      <w:r>
        <w:rPr>
          <w:rFonts w:hint="eastAsia"/>
          <w:sz w:val="28"/>
          <w:highlight w:val="none"/>
        </w:rPr>
        <w:t>授权代表：</w:t>
      </w:r>
    </w:p>
    <w:p w14:paraId="12057BF0">
      <w:pPr>
        <w:pStyle w:val="73"/>
        <w:spacing w:line="360" w:lineRule="auto"/>
        <w:rPr>
          <w:rFonts w:hint="eastAsia"/>
          <w:sz w:val="28"/>
          <w:highlight w:val="none"/>
        </w:rPr>
      </w:pPr>
      <w:r>
        <w:rPr>
          <w:rFonts w:hint="eastAsia"/>
          <w:sz w:val="28"/>
          <w:highlight w:val="none"/>
        </w:rPr>
        <w:t>（签 字）</w:t>
      </w:r>
    </w:p>
    <w:p w14:paraId="77706C18">
      <w:pPr>
        <w:pStyle w:val="73"/>
        <w:spacing w:line="360" w:lineRule="auto"/>
        <w:rPr>
          <w:rFonts w:hint="eastAsia"/>
          <w:sz w:val="28"/>
          <w:highlight w:val="none"/>
        </w:rPr>
      </w:pPr>
      <w:r>
        <w:rPr>
          <w:rFonts w:hint="eastAsia"/>
          <w:sz w:val="28"/>
          <w:highlight w:val="none"/>
        </w:rPr>
        <w:t>报价时间：</w:t>
      </w:r>
    </w:p>
    <w:p w14:paraId="2EEFD79F">
      <w:pPr>
        <w:pStyle w:val="73"/>
        <w:spacing w:line="360" w:lineRule="auto"/>
        <w:rPr>
          <w:rFonts w:hint="eastAsia"/>
          <w:sz w:val="28"/>
          <w:highlight w:val="none"/>
          <w:u w:val="single"/>
        </w:rPr>
      </w:pPr>
      <w:r>
        <w:rPr>
          <w:rFonts w:hint="eastAsia"/>
          <w:sz w:val="28"/>
          <w:highlight w:val="none"/>
        </w:rPr>
        <w:t>报价人地址：</w:t>
      </w:r>
    </w:p>
    <w:p w14:paraId="422FAED3">
      <w:pPr>
        <w:spacing w:line="360" w:lineRule="auto"/>
        <w:outlineLvl w:val="0"/>
        <w:rPr>
          <w:rFonts w:hint="eastAsia"/>
          <w:sz w:val="28"/>
          <w:highlight w:val="none"/>
          <w:u w:val="single"/>
        </w:rPr>
      </w:pPr>
      <w:bookmarkStart w:id="111" w:name="_Toc1689"/>
      <w:r>
        <w:rPr>
          <w:rFonts w:hint="eastAsia"/>
          <w:sz w:val="28"/>
          <w:highlight w:val="none"/>
        </w:rPr>
        <w:t>联系电话：</w:t>
      </w:r>
      <w:bookmarkEnd w:id="111"/>
    </w:p>
    <w:p w14:paraId="3A52BA1B">
      <w:pPr>
        <w:spacing w:line="360" w:lineRule="auto"/>
        <w:rPr>
          <w:rFonts w:hint="eastAsia"/>
          <w:highlight w:val="none"/>
        </w:rPr>
      </w:pPr>
    </w:p>
    <w:p w14:paraId="12BA7567">
      <w:pPr>
        <w:spacing w:line="360" w:lineRule="auto"/>
        <w:rPr>
          <w:rFonts w:hint="eastAsia"/>
          <w:highlight w:val="none"/>
        </w:rPr>
      </w:pPr>
    </w:p>
    <w:p w14:paraId="1636B0DC">
      <w:pPr>
        <w:pStyle w:val="2"/>
        <w:numPr>
          <w:ilvl w:val="0"/>
          <w:numId w:val="7"/>
        </w:numPr>
        <w:spacing w:line="360" w:lineRule="auto"/>
        <w:rPr>
          <w:rFonts w:hint="eastAsia"/>
          <w:highlight w:val="none"/>
        </w:rPr>
      </w:pPr>
      <w:bookmarkStart w:id="112" w:name="_Toc26691"/>
      <w:bookmarkStart w:id="113" w:name="_Toc327463005"/>
      <w:bookmarkStart w:id="114" w:name="_Toc72335528"/>
      <w:bookmarkStart w:id="115" w:name="_Toc421880920"/>
      <w:bookmarkStart w:id="116" w:name="_Toc415478503"/>
      <w:bookmarkStart w:id="117" w:name="_Toc132786437"/>
      <w:bookmarkStart w:id="118" w:name="_Toc457852016"/>
      <w:r>
        <w:rPr>
          <w:rFonts w:hint="eastAsia"/>
          <w:szCs w:val="30"/>
          <w:highlight w:val="none"/>
        </w:rPr>
        <w:t>应谈文件声明</w:t>
      </w:r>
      <w:bookmarkEnd w:id="112"/>
      <w:bookmarkEnd w:id="113"/>
      <w:bookmarkEnd w:id="114"/>
      <w:bookmarkEnd w:id="115"/>
    </w:p>
    <w:p w14:paraId="4B2BA37D">
      <w:pPr>
        <w:spacing w:line="360" w:lineRule="auto"/>
        <w:rPr>
          <w:rFonts w:hint="eastAsia"/>
          <w:highlight w:val="none"/>
        </w:rPr>
      </w:pPr>
    </w:p>
    <w:p w14:paraId="642BDBC2">
      <w:pPr>
        <w:spacing w:line="360" w:lineRule="auto"/>
        <w:ind w:firstLine="600" w:firstLineChars="250"/>
        <w:rPr>
          <w:rFonts w:hint="eastAsia"/>
          <w:highlight w:val="none"/>
        </w:rPr>
      </w:pPr>
      <w:r>
        <w:rPr>
          <w:rFonts w:hint="eastAsia"/>
          <w:highlight w:val="none"/>
        </w:rPr>
        <w:t>我单位决定参与本项目竞争性磋商，并声明：</w:t>
      </w:r>
    </w:p>
    <w:p w14:paraId="019A8A28">
      <w:pPr>
        <w:numPr>
          <w:ilvl w:val="0"/>
          <w:numId w:val="8"/>
        </w:numPr>
        <w:tabs>
          <w:tab w:val="left" w:pos="993"/>
          <w:tab w:val="left" w:pos="1418"/>
        </w:tabs>
        <w:spacing w:line="360" w:lineRule="auto"/>
        <w:ind w:left="709"/>
        <w:rPr>
          <w:rFonts w:hint="eastAsia"/>
          <w:highlight w:val="none"/>
        </w:rPr>
      </w:pPr>
      <w:r>
        <w:rPr>
          <w:rFonts w:hint="eastAsia"/>
          <w:highlight w:val="none"/>
        </w:rPr>
        <w:t>按竞争性磋商文件规定，我方的投标价为</w:t>
      </w:r>
      <w:r>
        <w:rPr>
          <w:rFonts w:hint="eastAsia"/>
          <w:highlight w:val="none"/>
          <w:u w:val="single"/>
        </w:rPr>
        <w:t xml:space="preserve">      </w:t>
      </w:r>
      <w:r>
        <w:rPr>
          <w:rFonts w:hint="eastAsia"/>
          <w:highlight w:val="none"/>
        </w:rPr>
        <w:t>元人民币；</w:t>
      </w:r>
    </w:p>
    <w:p w14:paraId="20B2CA7E">
      <w:pPr>
        <w:numPr>
          <w:ilvl w:val="0"/>
          <w:numId w:val="8"/>
        </w:numPr>
        <w:tabs>
          <w:tab w:val="left" w:pos="993"/>
          <w:tab w:val="left" w:pos="1418"/>
        </w:tabs>
        <w:spacing w:line="360" w:lineRule="auto"/>
        <w:ind w:left="709"/>
        <w:rPr>
          <w:rFonts w:hint="eastAsia"/>
          <w:highlight w:val="none"/>
        </w:rPr>
      </w:pPr>
      <w:r>
        <w:rPr>
          <w:rFonts w:hint="eastAsia"/>
          <w:highlight w:val="none"/>
        </w:rPr>
        <w:t>我方向贵方提交的所有应谈文件、资料都是准确的和真实的；</w:t>
      </w:r>
    </w:p>
    <w:p w14:paraId="060F12D4">
      <w:pPr>
        <w:numPr>
          <w:ilvl w:val="0"/>
          <w:numId w:val="8"/>
        </w:numPr>
        <w:tabs>
          <w:tab w:val="left" w:pos="993"/>
          <w:tab w:val="left" w:pos="1418"/>
        </w:tabs>
        <w:spacing w:line="360" w:lineRule="auto"/>
        <w:ind w:left="709"/>
        <w:rPr>
          <w:rFonts w:hint="eastAsia"/>
          <w:highlight w:val="none"/>
        </w:rPr>
      </w:pPr>
      <w:r>
        <w:rPr>
          <w:rFonts w:hint="eastAsia"/>
          <w:highlight w:val="none"/>
        </w:rPr>
        <w:t>我方同意向贵方提供与竞争性磋商有关的其他任何证据与资料；</w:t>
      </w:r>
    </w:p>
    <w:p w14:paraId="0B51FFD6">
      <w:pPr>
        <w:numPr>
          <w:ilvl w:val="0"/>
          <w:numId w:val="8"/>
        </w:numPr>
        <w:tabs>
          <w:tab w:val="left" w:pos="993"/>
          <w:tab w:val="left" w:pos="1418"/>
        </w:tabs>
        <w:spacing w:line="360" w:lineRule="auto"/>
        <w:ind w:left="709"/>
        <w:rPr>
          <w:rFonts w:hint="eastAsia"/>
          <w:highlight w:val="none"/>
        </w:rPr>
      </w:pPr>
      <w:r>
        <w:rPr>
          <w:rFonts w:hint="eastAsia"/>
          <w:highlight w:val="none"/>
        </w:rPr>
        <w:t>我方愿意按照竞争性磋商文件的全部要求进行磋商；</w:t>
      </w:r>
    </w:p>
    <w:p w14:paraId="63D06209">
      <w:pPr>
        <w:numPr>
          <w:ilvl w:val="0"/>
          <w:numId w:val="8"/>
        </w:numPr>
        <w:tabs>
          <w:tab w:val="left" w:pos="993"/>
          <w:tab w:val="left" w:pos="1418"/>
        </w:tabs>
        <w:spacing w:line="360" w:lineRule="auto"/>
        <w:ind w:left="709"/>
        <w:rPr>
          <w:rFonts w:hint="eastAsia"/>
          <w:highlight w:val="none"/>
        </w:rPr>
      </w:pPr>
      <w:r>
        <w:rPr>
          <w:rFonts w:hint="eastAsia"/>
          <w:highlight w:val="none"/>
        </w:rPr>
        <w:t>我方完全愿意放弃对竞争性磋商文件有误解的辩解权利；</w:t>
      </w:r>
    </w:p>
    <w:p w14:paraId="4C4DD8AF">
      <w:pPr>
        <w:numPr>
          <w:ilvl w:val="0"/>
          <w:numId w:val="8"/>
        </w:numPr>
        <w:tabs>
          <w:tab w:val="left" w:pos="993"/>
          <w:tab w:val="left" w:pos="1418"/>
        </w:tabs>
        <w:spacing w:line="360" w:lineRule="auto"/>
        <w:ind w:left="709"/>
        <w:rPr>
          <w:rFonts w:hint="eastAsia"/>
          <w:highlight w:val="none"/>
        </w:rPr>
      </w:pPr>
      <w:r>
        <w:rPr>
          <w:rFonts w:hint="eastAsia"/>
          <w:highlight w:val="none"/>
        </w:rPr>
        <w:t>我方将按照竞争性磋商文件的规定履行合同的责任和义务；</w:t>
      </w:r>
    </w:p>
    <w:p w14:paraId="617E98D3">
      <w:pPr>
        <w:numPr>
          <w:ilvl w:val="0"/>
          <w:numId w:val="8"/>
        </w:numPr>
        <w:tabs>
          <w:tab w:val="left" w:pos="993"/>
          <w:tab w:val="left" w:pos="1418"/>
        </w:tabs>
        <w:spacing w:line="360" w:lineRule="auto"/>
        <w:ind w:left="709"/>
        <w:rPr>
          <w:rFonts w:hint="eastAsia"/>
          <w:highlight w:val="none"/>
        </w:rPr>
      </w:pPr>
      <w:r>
        <w:rPr>
          <w:rFonts w:hint="eastAsia"/>
          <w:highlight w:val="none"/>
        </w:rPr>
        <w:t xml:space="preserve">如果我方在竞争性磋商有效期内撤回竞价，保证金将被贵方没收； </w:t>
      </w:r>
    </w:p>
    <w:p w14:paraId="50B9BC08">
      <w:pPr>
        <w:numPr>
          <w:ilvl w:val="0"/>
          <w:numId w:val="8"/>
        </w:numPr>
        <w:tabs>
          <w:tab w:val="left" w:pos="993"/>
          <w:tab w:val="left" w:pos="1418"/>
        </w:tabs>
        <w:spacing w:line="360" w:lineRule="auto"/>
        <w:ind w:left="709"/>
        <w:rPr>
          <w:rFonts w:hint="eastAsia"/>
          <w:highlight w:val="none"/>
        </w:rPr>
      </w:pPr>
      <w:r>
        <w:rPr>
          <w:rFonts w:hint="eastAsia"/>
          <w:highlight w:val="none"/>
        </w:rPr>
        <w:t>我方理解贵方不一定要选择最低价的竞价；</w:t>
      </w:r>
    </w:p>
    <w:p w14:paraId="006F4F89">
      <w:pPr>
        <w:numPr>
          <w:ilvl w:val="0"/>
          <w:numId w:val="8"/>
        </w:numPr>
        <w:tabs>
          <w:tab w:val="left" w:pos="993"/>
          <w:tab w:val="left" w:pos="1418"/>
        </w:tabs>
        <w:spacing w:line="360" w:lineRule="auto"/>
        <w:ind w:left="709"/>
        <w:rPr>
          <w:rFonts w:hint="eastAsia"/>
          <w:highlight w:val="none"/>
        </w:rPr>
      </w:pPr>
      <w:r>
        <w:rPr>
          <w:rFonts w:hint="eastAsia"/>
          <w:highlight w:val="none"/>
        </w:rPr>
        <w:t>一旦我方成交，应谈文件将作为本项目合同的组成部分，直至合同履行完毕止均保持有效，我方将按竞争性磋商文件及政府采购法律、法规的规定，承担完成合同的全部责任和义务。且我们同意按竞争性磋商文件的要求和买方签订合同；</w:t>
      </w:r>
    </w:p>
    <w:p w14:paraId="494AD8F7">
      <w:pPr>
        <w:numPr>
          <w:ilvl w:val="0"/>
          <w:numId w:val="8"/>
        </w:numPr>
        <w:tabs>
          <w:tab w:val="left" w:pos="993"/>
          <w:tab w:val="left" w:pos="1418"/>
        </w:tabs>
        <w:spacing w:line="360" w:lineRule="auto"/>
        <w:ind w:left="709"/>
        <w:rPr>
          <w:rFonts w:hint="eastAsia"/>
          <w:highlight w:val="none"/>
        </w:rPr>
      </w:pPr>
      <w:r>
        <w:rPr>
          <w:rFonts w:hint="eastAsia"/>
          <w:highlight w:val="none"/>
        </w:rPr>
        <w:t>我方承担竞争性磋商过程中的相关费用；</w:t>
      </w:r>
    </w:p>
    <w:p w14:paraId="57725D4A">
      <w:pPr>
        <w:spacing w:line="360" w:lineRule="auto"/>
        <w:rPr>
          <w:rFonts w:hint="eastAsia"/>
          <w:highlight w:val="none"/>
        </w:rPr>
      </w:pPr>
    </w:p>
    <w:p w14:paraId="5971B1DA">
      <w:pPr>
        <w:spacing w:line="360" w:lineRule="auto"/>
        <w:rPr>
          <w:rFonts w:hint="eastAsia"/>
          <w:highlight w:val="none"/>
        </w:rPr>
      </w:pPr>
    </w:p>
    <w:p w14:paraId="79C0ED74">
      <w:pPr>
        <w:pStyle w:val="11"/>
        <w:spacing w:line="360" w:lineRule="auto"/>
        <w:rPr>
          <w:rFonts w:hint="eastAsia"/>
          <w:szCs w:val="24"/>
          <w:highlight w:val="none"/>
          <w:u w:val="single"/>
        </w:rPr>
      </w:pPr>
      <w:r>
        <w:rPr>
          <w:rFonts w:hint="eastAsia"/>
          <w:szCs w:val="24"/>
          <w:highlight w:val="none"/>
        </w:rPr>
        <w:t>供应商法定代表人或委托代理人（签字或盖章）：</w:t>
      </w:r>
    </w:p>
    <w:p w14:paraId="7962859B">
      <w:pPr>
        <w:pStyle w:val="11"/>
        <w:spacing w:line="360" w:lineRule="auto"/>
        <w:rPr>
          <w:rFonts w:hint="eastAsia"/>
          <w:szCs w:val="24"/>
          <w:highlight w:val="none"/>
          <w:u w:val="single"/>
        </w:rPr>
      </w:pPr>
      <w:r>
        <w:rPr>
          <w:rFonts w:hint="eastAsia"/>
          <w:szCs w:val="24"/>
          <w:highlight w:val="none"/>
        </w:rPr>
        <w:t>投标单位公章：</w:t>
      </w:r>
    </w:p>
    <w:p w14:paraId="53AC7EEC">
      <w:pPr>
        <w:pStyle w:val="11"/>
        <w:spacing w:line="360" w:lineRule="auto"/>
        <w:rPr>
          <w:rFonts w:hint="eastAsia"/>
          <w:szCs w:val="24"/>
          <w:highlight w:val="none"/>
        </w:rPr>
      </w:pPr>
      <w:r>
        <w:rPr>
          <w:rFonts w:hint="eastAsia"/>
          <w:szCs w:val="24"/>
          <w:highlight w:val="none"/>
        </w:rPr>
        <w:t>年月日</w:t>
      </w:r>
    </w:p>
    <w:p w14:paraId="1B8E0811">
      <w:pPr>
        <w:pStyle w:val="11"/>
        <w:spacing w:line="360" w:lineRule="auto"/>
        <w:rPr>
          <w:rFonts w:hint="eastAsia"/>
          <w:szCs w:val="24"/>
          <w:highlight w:val="none"/>
        </w:rPr>
      </w:pPr>
    </w:p>
    <w:p w14:paraId="32D82FF8">
      <w:pPr>
        <w:pStyle w:val="11"/>
        <w:spacing w:line="360" w:lineRule="auto"/>
        <w:rPr>
          <w:rFonts w:hint="eastAsia"/>
          <w:szCs w:val="24"/>
          <w:highlight w:val="none"/>
        </w:rPr>
      </w:pPr>
    </w:p>
    <w:p w14:paraId="2AB514FC">
      <w:pPr>
        <w:pStyle w:val="11"/>
        <w:spacing w:line="360" w:lineRule="auto"/>
        <w:rPr>
          <w:rFonts w:hint="eastAsia"/>
          <w:szCs w:val="24"/>
          <w:highlight w:val="none"/>
        </w:rPr>
      </w:pPr>
    </w:p>
    <w:p w14:paraId="7FF2E3DB">
      <w:pPr>
        <w:pStyle w:val="11"/>
        <w:spacing w:line="360" w:lineRule="auto"/>
        <w:rPr>
          <w:rFonts w:hint="eastAsia"/>
          <w:szCs w:val="24"/>
          <w:highlight w:val="none"/>
        </w:rPr>
      </w:pPr>
    </w:p>
    <w:p w14:paraId="241C405F">
      <w:pPr>
        <w:pStyle w:val="11"/>
        <w:spacing w:line="360" w:lineRule="auto"/>
        <w:rPr>
          <w:rFonts w:hint="eastAsia"/>
          <w:szCs w:val="24"/>
          <w:highlight w:val="none"/>
        </w:rPr>
      </w:pPr>
    </w:p>
    <w:p w14:paraId="6ADE4112">
      <w:pPr>
        <w:spacing w:line="360" w:lineRule="auto"/>
        <w:rPr>
          <w:rFonts w:hint="eastAsia"/>
          <w:highlight w:val="none"/>
        </w:rPr>
      </w:pPr>
    </w:p>
    <w:p w14:paraId="6B733118">
      <w:pPr>
        <w:pStyle w:val="2"/>
        <w:numPr>
          <w:ilvl w:val="0"/>
          <w:numId w:val="7"/>
        </w:numPr>
        <w:spacing w:line="360" w:lineRule="auto"/>
        <w:rPr>
          <w:rFonts w:hint="eastAsia"/>
          <w:highlight w:val="none"/>
        </w:rPr>
      </w:pPr>
      <w:bookmarkStart w:id="119" w:name="_Toc18050"/>
      <w:bookmarkStart w:id="120" w:name="_Toc72335529"/>
      <w:bookmarkStart w:id="121" w:name="_Toc421880921"/>
      <w:r>
        <w:rPr>
          <w:rFonts w:hint="eastAsia"/>
          <w:highlight w:val="none"/>
        </w:rPr>
        <w:t>报价信息</w:t>
      </w:r>
      <w:bookmarkEnd w:id="119"/>
      <w:bookmarkEnd w:id="120"/>
      <w:bookmarkEnd w:id="121"/>
    </w:p>
    <w:p w14:paraId="3D2F52BD">
      <w:pPr>
        <w:pStyle w:val="3"/>
        <w:spacing w:line="360" w:lineRule="auto"/>
        <w:rPr>
          <w:rFonts w:hint="eastAsia" w:ascii="宋体" w:hAnsi="宋体"/>
          <w:highlight w:val="none"/>
        </w:rPr>
      </w:pPr>
      <w:bookmarkStart w:id="122" w:name="_Toc72335530"/>
      <w:bookmarkStart w:id="123" w:name="_Toc421880922"/>
      <w:r>
        <w:rPr>
          <w:rFonts w:hint="eastAsia" w:ascii="宋体" w:hAnsi="宋体"/>
          <w:highlight w:val="none"/>
        </w:rPr>
        <w:t>2.1报价一览表</w:t>
      </w:r>
      <w:bookmarkEnd w:id="122"/>
      <w:bookmarkEnd w:id="123"/>
    </w:p>
    <w:p w14:paraId="5B860196">
      <w:pPr>
        <w:autoSpaceDE w:val="0"/>
        <w:autoSpaceDN w:val="0"/>
        <w:adjustRightInd w:val="0"/>
        <w:spacing w:line="360" w:lineRule="auto"/>
        <w:rPr>
          <w:rFonts w:hint="eastAsia"/>
          <w:highlight w:val="none"/>
          <w:lang w:val="zh-CN"/>
        </w:rPr>
      </w:pPr>
      <w:r>
        <w:rPr>
          <w:rFonts w:hint="eastAsia"/>
          <w:highlight w:val="none"/>
          <w:lang w:val="zh-CN"/>
        </w:rPr>
        <w:t>项目名称：“十五五”建设用地减量化及一般耕地复垦实施方案</w:t>
      </w:r>
    </w:p>
    <w:p w14:paraId="3EF7CB08">
      <w:pPr>
        <w:autoSpaceDE w:val="0"/>
        <w:autoSpaceDN w:val="0"/>
        <w:adjustRightInd w:val="0"/>
        <w:spacing w:line="360" w:lineRule="auto"/>
        <w:rPr>
          <w:rFonts w:hint="eastAsia"/>
          <w:highlight w:val="none"/>
          <w:u w:val="single"/>
          <w:lang w:val="zh-CN"/>
        </w:rPr>
      </w:pPr>
      <w:r>
        <w:rPr>
          <w:rFonts w:hint="eastAsia"/>
          <w:highlight w:val="none"/>
          <w:lang w:val="zh-CN"/>
        </w:rPr>
        <w:t>单位：</w:t>
      </w:r>
    </w:p>
    <w:tbl>
      <w:tblPr>
        <w:tblStyle w:val="37"/>
        <w:tblW w:w="9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8"/>
        <w:gridCol w:w="1331"/>
        <w:gridCol w:w="5701"/>
      </w:tblGrid>
      <w:tr w14:paraId="23DC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2348" w:type="dxa"/>
            <w:tcBorders>
              <w:tl2br w:val="nil"/>
              <w:tr2bl w:val="nil"/>
            </w:tcBorders>
            <w:vAlign w:val="center"/>
          </w:tcPr>
          <w:p w14:paraId="4334CF31">
            <w:pPr>
              <w:pStyle w:val="56"/>
              <w:spacing w:line="360" w:lineRule="auto"/>
              <w:jc w:val="center"/>
              <w:rPr>
                <w:rFonts w:hint="eastAsia"/>
                <w:szCs w:val="24"/>
                <w:highlight w:val="none"/>
              </w:rPr>
            </w:pPr>
            <w:r>
              <w:rPr>
                <w:rFonts w:hint="eastAsia"/>
                <w:szCs w:val="24"/>
                <w:highlight w:val="none"/>
              </w:rPr>
              <w:t>项目名称</w:t>
            </w:r>
          </w:p>
        </w:tc>
        <w:tc>
          <w:tcPr>
            <w:tcW w:w="7032" w:type="dxa"/>
            <w:gridSpan w:val="2"/>
            <w:tcBorders>
              <w:tl2br w:val="nil"/>
              <w:tr2bl w:val="nil"/>
            </w:tcBorders>
            <w:vAlign w:val="center"/>
          </w:tcPr>
          <w:p w14:paraId="5BFD6A1C">
            <w:pPr>
              <w:pStyle w:val="56"/>
              <w:spacing w:line="360" w:lineRule="auto"/>
              <w:rPr>
                <w:rFonts w:hint="eastAsia"/>
                <w:szCs w:val="24"/>
                <w:highlight w:val="none"/>
              </w:rPr>
            </w:pPr>
            <w:r>
              <w:rPr>
                <w:rFonts w:hint="eastAsia"/>
                <w:highlight w:val="none"/>
                <w:lang w:val="zh-CN"/>
              </w:rPr>
              <w:t>“十五五”建设用地减量化及一般耕地复垦实施方案</w:t>
            </w:r>
          </w:p>
        </w:tc>
      </w:tr>
      <w:tr w14:paraId="1B75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exact"/>
          <w:jc w:val="center"/>
        </w:trPr>
        <w:tc>
          <w:tcPr>
            <w:tcW w:w="2348" w:type="dxa"/>
            <w:vMerge w:val="restart"/>
            <w:tcBorders>
              <w:tl2br w:val="nil"/>
              <w:tr2bl w:val="nil"/>
            </w:tcBorders>
            <w:vAlign w:val="center"/>
          </w:tcPr>
          <w:p w14:paraId="5F85D7A8">
            <w:pPr>
              <w:pStyle w:val="56"/>
              <w:spacing w:line="360" w:lineRule="auto"/>
              <w:jc w:val="center"/>
              <w:rPr>
                <w:rFonts w:hint="eastAsia"/>
                <w:szCs w:val="24"/>
                <w:highlight w:val="none"/>
              </w:rPr>
            </w:pPr>
            <w:r>
              <w:rPr>
                <w:rFonts w:hint="eastAsia"/>
                <w:szCs w:val="24"/>
                <w:highlight w:val="none"/>
              </w:rPr>
              <w:t>投标总价</w:t>
            </w:r>
          </w:p>
          <w:p w14:paraId="2CAF319B">
            <w:pPr>
              <w:pStyle w:val="56"/>
              <w:spacing w:line="360" w:lineRule="auto"/>
              <w:jc w:val="center"/>
              <w:rPr>
                <w:rFonts w:hint="eastAsia"/>
                <w:szCs w:val="24"/>
                <w:highlight w:val="none"/>
              </w:rPr>
            </w:pPr>
            <w:r>
              <w:rPr>
                <w:rFonts w:hint="eastAsia"/>
                <w:szCs w:val="24"/>
                <w:highlight w:val="none"/>
              </w:rPr>
              <w:t>（人民币/元）</w:t>
            </w:r>
          </w:p>
        </w:tc>
        <w:tc>
          <w:tcPr>
            <w:tcW w:w="1331" w:type="dxa"/>
            <w:tcBorders>
              <w:tl2br w:val="nil"/>
              <w:tr2bl w:val="nil"/>
            </w:tcBorders>
            <w:vAlign w:val="center"/>
          </w:tcPr>
          <w:p w14:paraId="580EDE86">
            <w:pPr>
              <w:pStyle w:val="56"/>
              <w:spacing w:line="360" w:lineRule="auto"/>
              <w:jc w:val="center"/>
              <w:rPr>
                <w:rFonts w:hint="eastAsia"/>
                <w:szCs w:val="24"/>
                <w:highlight w:val="none"/>
              </w:rPr>
            </w:pPr>
            <w:r>
              <w:rPr>
                <w:rFonts w:hint="eastAsia"/>
                <w:szCs w:val="24"/>
                <w:highlight w:val="none"/>
              </w:rPr>
              <w:t>小写</w:t>
            </w:r>
          </w:p>
        </w:tc>
        <w:tc>
          <w:tcPr>
            <w:tcW w:w="5701" w:type="dxa"/>
            <w:tcBorders>
              <w:tl2br w:val="nil"/>
              <w:tr2bl w:val="nil"/>
            </w:tcBorders>
            <w:vAlign w:val="center"/>
          </w:tcPr>
          <w:p w14:paraId="4D7BA501">
            <w:pPr>
              <w:pStyle w:val="56"/>
              <w:spacing w:line="360" w:lineRule="auto"/>
              <w:jc w:val="center"/>
              <w:rPr>
                <w:rFonts w:hint="eastAsia"/>
                <w:szCs w:val="24"/>
                <w:highlight w:val="none"/>
              </w:rPr>
            </w:pPr>
          </w:p>
        </w:tc>
      </w:tr>
      <w:tr w14:paraId="491D9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exact"/>
          <w:jc w:val="center"/>
        </w:trPr>
        <w:tc>
          <w:tcPr>
            <w:tcW w:w="2348" w:type="dxa"/>
            <w:vMerge w:val="continue"/>
            <w:tcBorders>
              <w:tl2br w:val="nil"/>
              <w:tr2bl w:val="nil"/>
            </w:tcBorders>
            <w:vAlign w:val="center"/>
          </w:tcPr>
          <w:p w14:paraId="15405A40">
            <w:pPr>
              <w:spacing w:line="360" w:lineRule="auto"/>
              <w:rPr>
                <w:rFonts w:hint="eastAsia"/>
                <w:highlight w:val="none"/>
              </w:rPr>
            </w:pPr>
          </w:p>
        </w:tc>
        <w:tc>
          <w:tcPr>
            <w:tcW w:w="1331" w:type="dxa"/>
            <w:tcBorders>
              <w:tl2br w:val="nil"/>
              <w:tr2bl w:val="nil"/>
            </w:tcBorders>
            <w:vAlign w:val="center"/>
          </w:tcPr>
          <w:p w14:paraId="60D2F6CE">
            <w:pPr>
              <w:pStyle w:val="56"/>
              <w:spacing w:line="360" w:lineRule="auto"/>
              <w:jc w:val="center"/>
              <w:rPr>
                <w:rFonts w:hint="eastAsia"/>
                <w:szCs w:val="24"/>
                <w:highlight w:val="none"/>
              </w:rPr>
            </w:pPr>
            <w:r>
              <w:rPr>
                <w:rFonts w:hint="eastAsia"/>
                <w:szCs w:val="24"/>
                <w:highlight w:val="none"/>
              </w:rPr>
              <w:t>大写</w:t>
            </w:r>
          </w:p>
        </w:tc>
        <w:tc>
          <w:tcPr>
            <w:tcW w:w="5701" w:type="dxa"/>
            <w:tcBorders>
              <w:tl2br w:val="nil"/>
              <w:tr2bl w:val="nil"/>
            </w:tcBorders>
            <w:vAlign w:val="center"/>
          </w:tcPr>
          <w:p w14:paraId="18532776">
            <w:pPr>
              <w:pStyle w:val="56"/>
              <w:spacing w:line="360" w:lineRule="auto"/>
              <w:jc w:val="center"/>
              <w:rPr>
                <w:rFonts w:hint="eastAsia"/>
                <w:szCs w:val="24"/>
                <w:highlight w:val="none"/>
              </w:rPr>
            </w:pPr>
          </w:p>
        </w:tc>
      </w:tr>
      <w:tr w14:paraId="1B25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348" w:type="dxa"/>
            <w:tcBorders>
              <w:tl2br w:val="nil"/>
              <w:tr2bl w:val="nil"/>
            </w:tcBorders>
            <w:vAlign w:val="center"/>
          </w:tcPr>
          <w:p w14:paraId="107EBB38">
            <w:pPr>
              <w:pStyle w:val="56"/>
              <w:spacing w:line="360" w:lineRule="auto"/>
              <w:jc w:val="center"/>
              <w:rPr>
                <w:rFonts w:hint="eastAsia"/>
                <w:szCs w:val="24"/>
                <w:highlight w:val="none"/>
              </w:rPr>
            </w:pPr>
            <w:r>
              <w:rPr>
                <w:rFonts w:hint="eastAsia"/>
                <w:szCs w:val="24"/>
                <w:highlight w:val="none"/>
              </w:rPr>
              <w:t>服务期限</w:t>
            </w:r>
          </w:p>
        </w:tc>
        <w:tc>
          <w:tcPr>
            <w:tcW w:w="7032" w:type="dxa"/>
            <w:gridSpan w:val="2"/>
            <w:tcBorders>
              <w:tl2br w:val="nil"/>
              <w:tr2bl w:val="nil"/>
            </w:tcBorders>
            <w:vAlign w:val="center"/>
          </w:tcPr>
          <w:p w14:paraId="68E10266">
            <w:pPr>
              <w:pStyle w:val="56"/>
              <w:spacing w:line="360" w:lineRule="auto"/>
              <w:ind w:firstLine="240" w:firstLineChars="100"/>
              <w:rPr>
                <w:rFonts w:hint="eastAsia"/>
                <w:szCs w:val="24"/>
                <w:highlight w:val="none"/>
              </w:rPr>
            </w:pPr>
          </w:p>
        </w:tc>
      </w:tr>
      <w:tr w14:paraId="35F7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2348" w:type="dxa"/>
            <w:tcBorders>
              <w:tl2br w:val="nil"/>
              <w:tr2bl w:val="nil"/>
            </w:tcBorders>
            <w:vAlign w:val="center"/>
          </w:tcPr>
          <w:p w14:paraId="16FF8A36">
            <w:pPr>
              <w:pStyle w:val="56"/>
              <w:spacing w:line="360" w:lineRule="auto"/>
              <w:jc w:val="center"/>
              <w:rPr>
                <w:rFonts w:hint="eastAsia"/>
                <w:szCs w:val="24"/>
                <w:highlight w:val="none"/>
              </w:rPr>
            </w:pPr>
            <w:r>
              <w:rPr>
                <w:rFonts w:hint="eastAsia"/>
                <w:szCs w:val="24"/>
                <w:highlight w:val="none"/>
              </w:rPr>
              <w:t>是否接受本项目竞争性磋商文件第三部分项目采购需求的所有内容</w:t>
            </w:r>
          </w:p>
        </w:tc>
        <w:tc>
          <w:tcPr>
            <w:tcW w:w="7032" w:type="dxa"/>
            <w:gridSpan w:val="2"/>
            <w:tcBorders>
              <w:tl2br w:val="nil"/>
              <w:tr2bl w:val="nil"/>
            </w:tcBorders>
            <w:vAlign w:val="center"/>
          </w:tcPr>
          <w:p w14:paraId="6465F1BD">
            <w:pPr>
              <w:pStyle w:val="56"/>
              <w:spacing w:line="360" w:lineRule="auto"/>
              <w:ind w:firstLine="240" w:firstLineChars="100"/>
              <w:rPr>
                <w:rFonts w:hint="eastAsia"/>
                <w:szCs w:val="24"/>
                <w:highlight w:val="none"/>
              </w:rPr>
            </w:pPr>
            <w:r>
              <w:rPr>
                <w:rFonts w:hint="eastAsia"/>
                <w:szCs w:val="24"/>
                <w:highlight w:val="none"/>
              </w:rPr>
              <w:t>（是/否）</w:t>
            </w:r>
          </w:p>
        </w:tc>
      </w:tr>
    </w:tbl>
    <w:p w14:paraId="7BDC11EF">
      <w:pPr>
        <w:pStyle w:val="11"/>
        <w:spacing w:line="360" w:lineRule="auto"/>
        <w:rPr>
          <w:rFonts w:hint="eastAsia"/>
          <w:szCs w:val="24"/>
          <w:highlight w:val="none"/>
        </w:rPr>
      </w:pPr>
    </w:p>
    <w:p w14:paraId="44A909A4">
      <w:pPr>
        <w:pStyle w:val="11"/>
        <w:spacing w:line="360" w:lineRule="auto"/>
        <w:rPr>
          <w:rFonts w:hint="eastAsia"/>
          <w:szCs w:val="24"/>
          <w:highlight w:val="none"/>
          <w:u w:val="single"/>
        </w:rPr>
      </w:pPr>
      <w:r>
        <w:rPr>
          <w:rFonts w:hint="eastAsia"/>
          <w:szCs w:val="24"/>
          <w:highlight w:val="none"/>
        </w:rPr>
        <w:t>供应商法定代表人或委托代理人（签字或盖章）：</w:t>
      </w:r>
    </w:p>
    <w:p w14:paraId="23E3B052">
      <w:pPr>
        <w:pStyle w:val="11"/>
        <w:spacing w:line="360" w:lineRule="auto"/>
        <w:rPr>
          <w:rFonts w:hint="eastAsia"/>
          <w:szCs w:val="24"/>
          <w:highlight w:val="none"/>
          <w:u w:val="single"/>
        </w:rPr>
      </w:pPr>
      <w:r>
        <w:rPr>
          <w:rFonts w:hint="eastAsia"/>
          <w:szCs w:val="24"/>
          <w:highlight w:val="none"/>
        </w:rPr>
        <w:t>投标单位公章：</w:t>
      </w:r>
    </w:p>
    <w:p w14:paraId="70F00829">
      <w:pPr>
        <w:pStyle w:val="11"/>
        <w:spacing w:line="360" w:lineRule="auto"/>
        <w:rPr>
          <w:rFonts w:hint="eastAsia"/>
          <w:szCs w:val="24"/>
          <w:highlight w:val="none"/>
        </w:rPr>
      </w:pPr>
      <w:r>
        <w:rPr>
          <w:rFonts w:hint="eastAsia"/>
          <w:szCs w:val="24"/>
          <w:highlight w:val="none"/>
        </w:rPr>
        <w:t>年月日</w:t>
      </w:r>
    </w:p>
    <w:p w14:paraId="43760CF2">
      <w:pPr>
        <w:spacing w:line="360" w:lineRule="auto"/>
        <w:rPr>
          <w:rFonts w:hint="eastAsia"/>
          <w:highlight w:val="none"/>
        </w:rPr>
        <w:sectPr>
          <w:headerReference r:id="rId8" w:type="first"/>
          <w:footerReference r:id="rId10" w:type="first"/>
          <w:headerReference r:id="rId7" w:type="default"/>
          <w:footerReference r:id="rId9" w:type="default"/>
          <w:pgSz w:w="11906" w:h="16838"/>
          <w:pgMar w:top="1418" w:right="1418" w:bottom="1418" w:left="1418" w:header="964" w:footer="992" w:gutter="0"/>
          <w:pgNumType w:start="1"/>
          <w:cols w:space="720" w:num="1"/>
          <w:titlePg/>
          <w:docGrid w:type="linesAndChars" w:linePitch="312" w:charSpace="0"/>
        </w:sectPr>
      </w:pPr>
    </w:p>
    <w:p w14:paraId="22DB8A17">
      <w:pPr>
        <w:spacing w:before="78" w:line="360" w:lineRule="auto"/>
        <w:ind w:left="2569"/>
        <w:outlineLvl w:val="2"/>
        <w:rPr>
          <w:rFonts w:hint="eastAsia"/>
          <w:b/>
          <w:bCs/>
          <w:sz w:val="30"/>
          <w:szCs w:val="30"/>
          <w:highlight w:val="none"/>
        </w:rPr>
      </w:pPr>
      <w:r>
        <w:rPr>
          <w:rFonts w:hint="eastAsia"/>
          <w:b/>
          <w:bCs/>
          <w:sz w:val="30"/>
          <w:szCs w:val="30"/>
          <w:highlight w:val="none"/>
        </w:rPr>
        <w:t>2.2报价明细表（格式可自拟）</w:t>
      </w:r>
    </w:p>
    <w:p w14:paraId="5B4D5697">
      <w:pPr>
        <w:spacing w:before="78" w:line="360" w:lineRule="auto"/>
        <w:outlineLvl w:val="2"/>
        <w:rPr>
          <w:rFonts w:hint="eastAsia"/>
          <w:kern w:val="2"/>
          <w:highlight w:val="none"/>
          <w:lang w:bidi="ar"/>
        </w:rPr>
      </w:pPr>
      <w:r>
        <w:rPr>
          <w:rFonts w:hint="eastAsia"/>
          <w:kern w:val="2"/>
          <w:highlight w:val="none"/>
          <w:lang w:bidi="ar"/>
        </w:rPr>
        <w:t>项目名称：</w:t>
      </w:r>
    </w:p>
    <w:tbl>
      <w:tblPr>
        <w:tblStyle w:val="37"/>
        <w:tblW w:w="5148" w:type="pct"/>
        <w:jc w:val="center"/>
        <w:tblLayout w:type="fixed"/>
        <w:tblCellMar>
          <w:top w:w="0" w:type="dxa"/>
          <w:left w:w="108" w:type="dxa"/>
          <w:bottom w:w="0" w:type="dxa"/>
          <w:right w:w="108" w:type="dxa"/>
        </w:tblCellMar>
      </w:tblPr>
      <w:tblGrid>
        <w:gridCol w:w="687"/>
        <w:gridCol w:w="3956"/>
        <w:gridCol w:w="1387"/>
        <w:gridCol w:w="3531"/>
      </w:tblGrid>
      <w:tr w14:paraId="431F5DC4">
        <w:tblPrEx>
          <w:tblCellMar>
            <w:top w:w="0" w:type="dxa"/>
            <w:left w:w="108" w:type="dxa"/>
            <w:bottom w:w="0" w:type="dxa"/>
            <w:right w:w="108" w:type="dxa"/>
          </w:tblCellMar>
        </w:tblPrEx>
        <w:trPr>
          <w:trHeight w:val="567" w:hRule="atLeast"/>
          <w:jc w:val="center"/>
        </w:trPr>
        <w:tc>
          <w:tcPr>
            <w:tcW w:w="359" w:type="pct"/>
            <w:tcBorders>
              <w:top w:val="single" w:color="000000" w:sz="4" w:space="0"/>
              <w:left w:val="single" w:color="000000" w:sz="4" w:space="0"/>
              <w:bottom w:val="single" w:color="000000" w:sz="4" w:space="0"/>
              <w:right w:val="single" w:color="000000" w:sz="4" w:space="0"/>
            </w:tcBorders>
            <w:noWrap/>
            <w:vAlign w:val="center"/>
          </w:tcPr>
          <w:p w14:paraId="40FFCE93">
            <w:pPr>
              <w:textAlignment w:val="center"/>
              <w:rPr>
                <w:rFonts w:hint="eastAsia"/>
                <w:color w:val="000000"/>
                <w:highlight w:val="none"/>
              </w:rPr>
            </w:pPr>
            <w:r>
              <w:rPr>
                <w:rFonts w:hint="eastAsia"/>
                <w:color w:val="000000"/>
                <w:highlight w:val="none"/>
                <w:lang w:bidi="ar"/>
              </w:rPr>
              <w:t>序号</w:t>
            </w:r>
          </w:p>
        </w:tc>
        <w:tc>
          <w:tcPr>
            <w:tcW w:w="2068" w:type="pct"/>
            <w:tcBorders>
              <w:top w:val="single" w:color="000000" w:sz="4" w:space="0"/>
              <w:left w:val="single" w:color="000000" w:sz="4" w:space="0"/>
              <w:bottom w:val="single" w:color="000000" w:sz="4" w:space="0"/>
              <w:right w:val="single" w:color="000000" w:sz="4" w:space="0"/>
            </w:tcBorders>
            <w:noWrap/>
            <w:vAlign w:val="center"/>
          </w:tcPr>
          <w:p w14:paraId="30A4B093">
            <w:pPr>
              <w:textAlignment w:val="center"/>
              <w:rPr>
                <w:rFonts w:hint="eastAsia"/>
                <w:color w:val="000000"/>
                <w:highlight w:val="none"/>
              </w:rPr>
            </w:pPr>
            <w:r>
              <w:rPr>
                <w:rFonts w:hint="eastAsia"/>
                <w:color w:val="000000"/>
                <w:highlight w:val="none"/>
                <w:lang w:bidi="ar"/>
              </w:rPr>
              <w:t>内容</w:t>
            </w:r>
          </w:p>
        </w:tc>
        <w:tc>
          <w:tcPr>
            <w:tcW w:w="725" w:type="pct"/>
            <w:tcBorders>
              <w:top w:val="single" w:color="000000" w:sz="4" w:space="0"/>
              <w:left w:val="single" w:color="000000" w:sz="4" w:space="0"/>
              <w:bottom w:val="single" w:color="000000" w:sz="4" w:space="0"/>
              <w:right w:val="single" w:color="000000" w:sz="4" w:space="0"/>
            </w:tcBorders>
            <w:noWrap/>
            <w:vAlign w:val="center"/>
          </w:tcPr>
          <w:p w14:paraId="3916C2B5">
            <w:pPr>
              <w:jc w:val="center"/>
              <w:textAlignment w:val="center"/>
              <w:rPr>
                <w:rFonts w:hint="eastAsia"/>
                <w:color w:val="000000"/>
                <w:highlight w:val="none"/>
              </w:rPr>
            </w:pPr>
            <w:r>
              <w:rPr>
                <w:rFonts w:hint="eastAsia"/>
                <w:color w:val="000000"/>
                <w:highlight w:val="none"/>
                <w:lang w:bidi="ar"/>
              </w:rPr>
              <w:t>报价（元）</w:t>
            </w:r>
          </w:p>
        </w:tc>
        <w:tc>
          <w:tcPr>
            <w:tcW w:w="1846" w:type="pct"/>
            <w:tcBorders>
              <w:top w:val="single" w:color="000000" w:sz="4" w:space="0"/>
              <w:left w:val="single" w:color="000000" w:sz="4" w:space="0"/>
              <w:bottom w:val="single" w:color="000000" w:sz="4" w:space="0"/>
              <w:right w:val="single" w:color="000000" w:sz="4" w:space="0"/>
            </w:tcBorders>
            <w:noWrap/>
            <w:vAlign w:val="center"/>
          </w:tcPr>
          <w:p w14:paraId="39386249">
            <w:pPr>
              <w:jc w:val="center"/>
              <w:textAlignment w:val="center"/>
              <w:rPr>
                <w:rFonts w:hint="default" w:eastAsia="宋体"/>
                <w:color w:val="000000"/>
                <w:highlight w:val="none"/>
                <w:lang w:val="en-US" w:eastAsia="zh-CN"/>
              </w:rPr>
            </w:pPr>
            <w:r>
              <w:rPr>
                <w:rFonts w:hint="eastAsia"/>
                <w:color w:val="000000"/>
                <w:highlight w:val="none"/>
                <w:lang w:bidi="ar"/>
              </w:rPr>
              <w:t>报价明细组成</w:t>
            </w:r>
            <w:r>
              <w:rPr>
                <w:rFonts w:hint="eastAsia"/>
                <w:color w:val="000000"/>
                <w:highlight w:val="none"/>
                <w:lang w:val="en-US" w:eastAsia="zh-CN" w:bidi="ar"/>
              </w:rPr>
              <w:t>或计费依据说明</w:t>
            </w:r>
          </w:p>
        </w:tc>
      </w:tr>
      <w:tr w14:paraId="3E806E69">
        <w:tblPrEx>
          <w:tblCellMar>
            <w:top w:w="0" w:type="dxa"/>
            <w:left w:w="108" w:type="dxa"/>
            <w:bottom w:w="0" w:type="dxa"/>
            <w:right w:w="108" w:type="dxa"/>
          </w:tblCellMar>
        </w:tblPrEx>
        <w:trPr>
          <w:trHeight w:val="567" w:hRule="atLeast"/>
          <w:jc w:val="center"/>
        </w:trPr>
        <w:tc>
          <w:tcPr>
            <w:tcW w:w="359" w:type="pct"/>
            <w:tcBorders>
              <w:top w:val="single" w:color="000000" w:sz="4" w:space="0"/>
              <w:left w:val="single" w:color="000000" w:sz="4" w:space="0"/>
              <w:bottom w:val="single" w:color="000000" w:sz="4" w:space="0"/>
              <w:right w:val="single" w:color="000000" w:sz="4" w:space="0"/>
            </w:tcBorders>
            <w:noWrap/>
            <w:vAlign w:val="center"/>
          </w:tcPr>
          <w:p w14:paraId="255CFA7A">
            <w:pPr>
              <w:jc w:val="center"/>
              <w:textAlignment w:val="center"/>
              <w:rPr>
                <w:rFonts w:hint="eastAsia"/>
                <w:color w:val="000000"/>
                <w:highlight w:val="none"/>
                <w:lang w:bidi="ar"/>
              </w:rPr>
            </w:pPr>
            <w:r>
              <w:rPr>
                <w:rFonts w:hint="eastAsia"/>
                <w:color w:val="000000"/>
                <w:highlight w:val="none"/>
                <w:lang w:bidi="ar"/>
              </w:rPr>
              <w:t>1</w:t>
            </w:r>
          </w:p>
        </w:tc>
        <w:tc>
          <w:tcPr>
            <w:tcW w:w="2068" w:type="pct"/>
            <w:tcBorders>
              <w:top w:val="single" w:color="000000" w:sz="4" w:space="0"/>
              <w:left w:val="single" w:color="000000" w:sz="4" w:space="0"/>
              <w:bottom w:val="single" w:color="000000" w:sz="4" w:space="0"/>
              <w:right w:val="single" w:color="000000" w:sz="4" w:space="0"/>
            </w:tcBorders>
            <w:noWrap/>
            <w:vAlign w:val="center"/>
          </w:tcPr>
          <w:p w14:paraId="7B01DEBA">
            <w:pPr>
              <w:textAlignment w:val="center"/>
              <w:rPr>
                <w:rFonts w:hint="eastAsia"/>
                <w:color w:val="000000"/>
                <w:highlight w:val="none"/>
              </w:rPr>
            </w:pPr>
            <w:r>
              <w:rPr>
                <w:rFonts w:hint="eastAsia"/>
                <w:color w:val="000000"/>
                <w:highlight w:val="none"/>
              </w:rPr>
              <w:t>第一阶段：数据梳理和初步研究</w:t>
            </w:r>
          </w:p>
        </w:tc>
        <w:tc>
          <w:tcPr>
            <w:tcW w:w="725" w:type="pct"/>
            <w:tcBorders>
              <w:top w:val="single" w:color="000000" w:sz="4" w:space="0"/>
              <w:left w:val="single" w:color="000000" w:sz="4" w:space="0"/>
              <w:bottom w:val="single" w:color="000000" w:sz="4" w:space="0"/>
              <w:right w:val="single" w:color="000000" w:sz="4" w:space="0"/>
            </w:tcBorders>
            <w:noWrap/>
            <w:vAlign w:val="center"/>
          </w:tcPr>
          <w:p w14:paraId="11CA7F8F">
            <w:pPr>
              <w:rPr>
                <w:rFonts w:hint="eastAsia"/>
                <w:color w:val="000000"/>
                <w:highlight w:val="none"/>
              </w:rPr>
            </w:pPr>
          </w:p>
        </w:tc>
        <w:tc>
          <w:tcPr>
            <w:tcW w:w="1846" w:type="pct"/>
            <w:tcBorders>
              <w:top w:val="single" w:color="000000" w:sz="4" w:space="0"/>
              <w:left w:val="single" w:color="000000" w:sz="4" w:space="0"/>
              <w:bottom w:val="single" w:color="000000" w:sz="4" w:space="0"/>
              <w:right w:val="single" w:color="000000" w:sz="4" w:space="0"/>
            </w:tcBorders>
            <w:noWrap/>
            <w:vAlign w:val="center"/>
          </w:tcPr>
          <w:p w14:paraId="208C3956">
            <w:pPr>
              <w:rPr>
                <w:rFonts w:hint="eastAsia"/>
                <w:color w:val="000000"/>
                <w:highlight w:val="none"/>
              </w:rPr>
            </w:pPr>
          </w:p>
        </w:tc>
      </w:tr>
      <w:tr w14:paraId="2A3FFB27">
        <w:tblPrEx>
          <w:tblCellMar>
            <w:top w:w="0" w:type="dxa"/>
            <w:left w:w="108" w:type="dxa"/>
            <w:bottom w:w="0" w:type="dxa"/>
            <w:right w:w="108" w:type="dxa"/>
          </w:tblCellMar>
        </w:tblPrEx>
        <w:trPr>
          <w:trHeight w:val="567" w:hRule="atLeast"/>
          <w:jc w:val="center"/>
        </w:trPr>
        <w:tc>
          <w:tcPr>
            <w:tcW w:w="359" w:type="pct"/>
            <w:tcBorders>
              <w:top w:val="single" w:color="000000" w:sz="4" w:space="0"/>
              <w:left w:val="single" w:color="000000" w:sz="4" w:space="0"/>
              <w:bottom w:val="single" w:color="000000" w:sz="4" w:space="0"/>
              <w:right w:val="single" w:color="000000" w:sz="4" w:space="0"/>
            </w:tcBorders>
            <w:noWrap/>
            <w:vAlign w:val="center"/>
          </w:tcPr>
          <w:p w14:paraId="14FF74BB">
            <w:pPr>
              <w:jc w:val="center"/>
              <w:textAlignment w:val="center"/>
              <w:rPr>
                <w:rFonts w:hint="eastAsia" w:eastAsia="宋体"/>
                <w:color w:val="000000"/>
                <w:highlight w:val="none"/>
                <w:lang w:eastAsia="zh-CN"/>
              </w:rPr>
            </w:pPr>
            <w:r>
              <w:rPr>
                <w:rFonts w:hint="eastAsia"/>
                <w:color w:val="000000"/>
                <w:highlight w:val="none"/>
                <w:lang w:val="en-US" w:eastAsia="zh-CN" w:bidi="ar"/>
              </w:rPr>
              <w:t>2</w:t>
            </w:r>
          </w:p>
        </w:tc>
        <w:tc>
          <w:tcPr>
            <w:tcW w:w="2068" w:type="pct"/>
            <w:tcBorders>
              <w:top w:val="single" w:color="000000" w:sz="4" w:space="0"/>
              <w:left w:val="single" w:color="000000" w:sz="4" w:space="0"/>
              <w:bottom w:val="single" w:color="000000" w:sz="4" w:space="0"/>
              <w:right w:val="single" w:color="000000" w:sz="4" w:space="0"/>
            </w:tcBorders>
            <w:noWrap/>
            <w:vAlign w:val="center"/>
          </w:tcPr>
          <w:p w14:paraId="272DEAE6">
            <w:pPr>
              <w:textAlignment w:val="center"/>
              <w:rPr>
                <w:rFonts w:hint="eastAsia"/>
                <w:color w:val="000000"/>
                <w:highlight w:val="none"/>
              </w:rPr>
            </w:pPr>
            <w:r>
              <w:rPr>
                <w:rFonts w:hint="eastAsia"/>
                <w:color w:val="000000"/>
                <w:highlight w:val="none"/>
              </w:rPr>
              <w:t>第二阶段：初步方案阶段</w:t>
            </w:r>
          </w:p>
        </w:tc>
        <w:tc>
          <w:tcPr>
            <w:tcW w:w="725" w:type="pct"/>
            <w:tcBorders>
              <w:top w:val="single" w:color="000000" w:sz="4" w:space="0"/>
              <w:left w:val="single" w:color="000000" w:sz="4" w:space="0"/>
              <w:bottom w:val="single" w:color="000000" w:sz="4" w:space="0"/>
              <w:right w:val="single" w:color="000000" w:sz="4" w:space="0"/>
            </w:tcBorders>
            <w:noWrap/>
            <w:vAlign w:val="center"/>
          </w:tcPr>
          <w:p w14:paraId="27993F8A">
            <w:pPr>
              <w:rPr>
                <w:rFonts w:hint="eastAsia"/>
                <w:color w:val="000000"/>
                <w:highlight w:val="none"/>
              </w:rPr>
            </w:pPr>
          </w:p>
        </w:tc>
        <w:tc>
          <w:tcPr>
            <w:tcW w:w="1846" w:type="pct"/>
            <w:tcBorders>
              <w:top w:val="single" w:color="000000" w:sz="4" w:space="0"/>
              <w:left w:val="single" w:color="000000" w:sz="4" w:space="0"/>
              <w:bottom w:val="single" w:color="000000" w:sz="4" w:space="0"/>
              <w:right w:val="single" w:color="000000" w:sz="4" w:space="0"/>
            </w:tcBorders>
            <w:noWrap/>
            <w:vAlign w:val="center"/>
          </w:tcPr>
          <w:p w14:paraId="3D275DA3">
            <w:pPr>
              <w:rPr>
                <w:rFonts w:hint="eastAsia"/>
                <w:color w:val="000000"/>
                <w:highlight w:val="none"/>
              </w:rPr>
            </w:pPr>
          </w:p>
        </w:tc>
      </w:tr>
      <w:tr w14:paraId="4BED3C28">
        <w:tblPrEx>
          <w:tblCellMar>
            <w:top w:w="0" w:type="dxa"/>
            <w:left w:w="108" w:type="dxa"/>
            <w:bottom w:w="0" w:type="dxa"/>
            <w:right w:w="108" w:type="dxa"/>
          </w:tblCellMar>
        </w:tblPrEx>
        <w:trPr>
          <w:trHeight w:val="567" w:hRule="atLeast"/>
          <w:jc w:val="center"/>
        </w:trPr>
        <w:tc>
          <w:tcPr>
            <w:tcW w:w="359" w:type="pct"/>
            <w:tcBorders>
              <w:top w:val="single" w:color="000000" w:sz="4" w:space="0"/>
              <w:left w:val="single" w:color="000000" w:sz="4" w:space="0"/>
              <w:bottom w:val="single" w:color="000000" w:sz="4" w:space="0"/>
              <w:right w:val="single" w:color="000000" w:sz="4" w:space="0"/>
            </w:tcBorders>
            <w:noWrap/>
            <w:vAlign w:val="center"/>
          </w:tcPr>
          <w:p w14:paraId="135ED74D">
            <w:pPr>
              <w:jc w:val="center"/>
              <w:textAlignment w:val="center"/>
              <w:rPr>
                <w:rFonts w:hint="default"/>
                <w:color w:val="000000"/>
                <w:highlight w:val="none"/>
                <w:lang w:val="en-US" w:eastAsia="zh-CN" w:bidi="ar"/>
              </w:rPr>
            </w:pPr>
            <w:r>
              <w:rPr>
                <w:rFonts w:hint="eastAsia"/>
                <w:color w:val="000000"/>
                <w:highlight w:val="none"/>
                <w:lang w:val="en-US" w:eastAsia="zh-CN" w:bidi="ar"/>
              </w:rPr>
              <w:t>3</w:t>
            </w:r>
          </w:p>
        </w:tc>
        <w:tc>
          <w:tcPr>
            <w:tcW w:w="2068" w:type="pct"/>
            <w:tcBorders>
              <w:top w:val="single" w:color="000000" w:sz="4" w:space="0"/>
              <w:left w:val="single" w:color="000000" w:sz="4" w:space="0"/>
              <w:bottom w:val="single" w:color="000000" w:sz="4" w:space="0"/>
              <w:right w:val="single" w:color="000000" w:sz="4" w:space="0"/>
            </w:tcBorders>
            <w:noWrap/>
            <w:vAlign w:val="center"/>
          </w:tcPr>
          <w:p w14:paraId="7C53D964">
            <w:pPr>
              <w:textAlignment w:val="center"/>
              <w:rPr>
                <w:rFonts w:hint="eastAsia"/>
                <w:color w:val="000000"/>
                <w:highlight w:val="none"/>
              </w:rPr>
            </w:pPr>
            <w:r>
              <w:rPr>
                <w:rFonts w:hint="eastAsia"/>
                <w:color w:val="000000"/>
                <w:highlight w:val="none"/>
              </w:rPr>
              <w:t>第三阶段：成果深化与成果编制阶段</w:t>
            </w:r>
          </w:p>
        </w:tc>
        <w:tc>
          <w:tcPr>
            <w:tcW w:w="725" w:type="pct"/>
            <w:tcBorders>
              <w:top w:val="single" w:color="000000" w:sz="4" w:space="0"/>
              <w:left w:val="single" w:color="000000" w:sz="4" w:space="0"/>
              <w:bottom w:val="single" w:color="000000" w:sz="4" w:space="0"/>
              <w:right w:val="single" w:color="000000" w:sz="4" w:space="0"/>
            </w:tcBorders>
            <w:noWrap/>
            <w:vAlign w:val="center"/>
          </w:tcPr>
          <w:p w14:paraId="2C88A6F9">
            <w:pPr>
              <w:rPr>
                <w:rFonts w:hint="eastAsia"/>
                <w:color w:val="000000"/>
                <w:highlight w:val="none"/>
              </w:rPr>
            </w:pPr>
          </w:p>
        </w:tc>
        <w:tc>
          <w:tcPr>
            <w:tcW w:w="1846" w:type="pct"/>
            <w:tcBorders>
              <w:top w:val="single" w:color="000000" w:sz="4" w:space="0"/>
              <w:left w:val="single" w:color="000000" w:sz="4" w:space="0"/>
              <w:bottom w:val="single" w:color="000000" w:sz="4" w:space="0"/>
              <w:right w:val="single" w:color="000000" w:sz="4" w:space="0"/>
            </w:tcBorders>
            <w:noWrap/>
            <w:vAlign w:val="center"/>
          </w:tcPr>
          <w:p w14:paraId="73CA6235">
            <w:pPr>
              <w:rPr>
                <w:rFonts w:hint="eastAsia"/>
                <w:color w:val="000000"/>
                <w:highlight w:val="none"/>
              </w:rPr>
            </w:pPr>
          </w:p>
        </w:tc>
      </w:tr>
      <w:tr w14:paraId="731302D9">
        <w:tblPrEx>
          <w:tblCellMar>
            <w:top w:w="0" w:type="dxa"/>
            <w:left w:w="108" w:type="dxa"/>
            <w:bottom w:w="0" w:type="dxa"/>
            <w:right w:w="108" w:type="dxa"/>
          </w:tblCellMar>
        </w:tblPrEx>
        <w:trPr>
          <w:trHeight w:val="567" w:hRule="atLeast"/>
          <w:jc w:val="center"/>
        </w:trPr>
        <w:tc>
          <w:tcPr>
            <w:tcW w:w="359" w:type="pct"/>
            <w:tcBorders>
              <w:top w:val="single" w:color="000000" w:sz="4" w:space="0"/>
              <w:left w:val="single" w:color="000000" w:sz="4" w:space="0"/>
              <w:bottom w:val="single" w:color="000000" w:sz="4" w:space="0"/>
              <w:right w:val="single" w:color="000000" w:sz="4" w:space="0"/>
            </w:tcBorders>
            <w:noWrap/>
            <w:vAlign w:val="center"/>
          </w:tcPr>
          <w:p w14:paraId="7392BED6">
            <w:pPr>
              <w:jc w:val="center"/>
              <w:textAlignment w:val="center"/>
              <w:rPr>
                <w:rFonts w:hint="eastAsia" w:eastAsia="宋体"/>
                <w:color w:val="000000"/>
                <w:highlight w:val="none"/>
                <w:lang w:eastAsia="zh-CN"/>
              </w:rPr>
            </w:pPr>
            <w:r>
              <w:rPr>
                <w:rFonts w:hint="eastAsia"/>
                <w:color w:val="000000"/>
                <w:highlight w:val="none"/>
                <w:lang w:val="en-US" w:eastAsia="zh-CN" w:bidi="ar"/>
              </w:rPr>
              <w:t>4</w:t>
            </w:r>
          </w:p>
        </w:tc>
        <w:tc>
          <w:tcPr>
            <w:tcW w:w="2068" w:type="pct"/>
            <w:tcBorders>
              <w:top w:val="single" w:color="000000" w:sz="4" w:space="0"/>
              <w:left w:val="single" w:color="000000" w:sz="4" w:space="0"/>
              <w:bottom w:val="single" w:color="000000" w:sz="4" w:space="0"/>
              <w:right w:val="single" w:color="000000" w:sz="4" w:space="0"/>
            </w:tcBorders>
            <w:noWrap/>
            <w:vAlign w:val="center"/>
          </w:tcPr>
          <w:p w14:paraId="5FB0165F">
            <w:pPr>
              <w:textAlignment w:val="center"/>
              <w:rPr>
                <w:rFonts w:hint="eastAsia"/>
                <w:color w:val="000000"/>
                <w:highlight w:val="none"/>
              </w:rPr>
            </w:pPr>
            <w:r>
              <w:rPr>
                <w:rFonts w:hint="eastAsia"/>
                <w:color w:val="000000"/>
                <w:highlight w:val="none"/>
                <w:lang w:bidi="ar"/>
              </w:rPr>
              <w:t>投标人认为其他所需费用</w:t>
            </w:r>
          </w:p>
        </w:tc>
        <w:tc>
          <w:tcPr>
            <w:tcW w:w="725" w:type="pct"/>
            <w:tcBorders>
              <w:top w:val="single" w:color="000000" w:sz="4" w:space="0"/>
              <w:left w:val="single" w:color="000000" w:sz="4" w:space="0"/>
              <w:bottom w:val="single" w:color="000000" w:sz="4" w:space="0"/>
              <w:right w:val="single" w:color="000000" w:sz="4" w:space="0"/>
            </w:tcBorders>
            <w:noWrap/>
            <w:vAlign w:val="center"/>
          </w:tcPr>
          <w:p w14:paraId="01571375">
            <w:pPr>
              <w:rPr>
                <w:rFonts w:hint="eastAsia"/>
                <w:color w:val="000000"/>
                <w:highlight w:val="none"/>
              </w:rPr>
            </w:pPr>
          </w:p>
        </w:tc>
        <w:tc>
          <w:tcPr>
            <w:tcW w:w="1846" w:type="pct"/>
            <w:tcBorders>
              <w:top w:val="single" w:color="000000" w:sz="4" w:space="0"/>
              <w:left w:val="single" w:color="000000" w:sz="4" w:space="0"/>
              <w:bottom w:val="single" w:color="000000" w:sz="4" w:space="0"/>
              <w:right w:val="single" w:color="000000" w:sz="4" w:space="0"/>
            </w:tcBorders>
            <w:noWrap/>
            <w:vAlign w:val="center"/>
          </w:tcPr>
          <w:p w14:paraId="049213EC">
            <w:pPr>
              <w:rPr>
                <w:rFonts w:hint="eastAsia"/>
                <w:color w:val="000000"/>
                <w:highlight w:val="none"/>
              </w:rPr>
            </w:pPr>
          </w:p>
        </w:tc>
      </w:tr>
      <w:tr w14:paraId="08297663">
        <w:tblPrEx>
          <w:tblCellMar>
            <w:top w:w="0" w:type="dxa"/>
            <w:left w:w="108" w:type="dxa"/>
            <w:bottom w:w="0" w:type="dxa"/>
            <w:right w:w="108" w:type="dxa"/>
          </w:tblCellMar>
        </w:tblPrEx>
        <w:trPr>
          <w:trHeight w:val="567" w:hRule="atLeast"/>
          <w:jc w:val="center"/>
        </w:trPr>
        <w:tc>
          <w:tcPr>
            <w:tcW w:w="2427" w:type="pct"/>
            <w:gridSpan w:val="2"/>
            <w:tcBorders>
              <w:top w:val="single" w:color="000000" w:sz="4" w:space="0"/>
              <w:left w:val="single" w:color="000000" w:sz="4" w:space="0"/>
              <w:bottom w:val="single" w:color="000000" w:sz="4" w:space="0"/>
              <w:right w:val="single" w:color="000000" w:sz="4" w:space="0"/>
            </w:tcBorders>
            <w:noWrap/>
            <w:vAlign w:val="center"/>
          </w:tcPr>
          <w:p w14:paraId="3B613A6C">
            <w:pPr>
              <w:jc w:val="center"/>
              <w:textAlignment w:val="center"/>
              <w:rPr>
                <w:rFonts w:hint="eastAsia"/>
                <w:color w:val="000000"/>
                <w:highlight w:val="none"/>
              </w:rPr>
            </w:pPr>
            <w:r>
              <w:rPr>
                <w:rFonts w:hint="eastAsia"/>
                <w:color w:val="000000"/>
                <w:highlight w:val="none"/>
                <w:lang w:bidi="ar"/>
              </w:rPr>
              <w:t>合计（元）</w:t>
            </w:r>
          </w:p>
        </w:tc>
        <w:tc>
          <w:tcPr>
            <w:tcW w:w="725" w:type="pct"/>
            <w:tcBorders>
              <w:top w:val="single" w:color="000000" w:sz="4" w:space="0"/>
              <w:left w:val="single" w:color="000000" w:sz="4" w:space="0"/>
              <w:bottom w:val="single" w:color="000000" w:sz="4" w:space="0"/>
              <w:right w:val="single" w:color="000000" w:sz="4" w:space="0"/>
            </w:tcBorders>
            <w:noWrap/>
            <w:vAlign w:val="center"/>
          </w:tcPr>
          <w:p w14:paraId="1C0B17EE">
            <w:pPr>
              <w:rPr>
                <w:rFonts w:hint="eastAsia"/>
                <w:color w:val="000000"/>
                <w:highlight w:val="none"/>
              </w:rPr>
            </w:pPr>
          </w:p>
        </w:tc>
        <w:tc>
          <w:tcPr>
            <w:tcW w:w="1846" w:type="pct"/>
            <w:tcBorders>
              <w:top w:val="single" w:color="000000" w:sz="4" w:space="0"/>
              <w:left w:val="single" w:color="000000" w:sz="4" w:space="0"/>
              <w:bottom w:val="single" w:color="000000" w:sz="4" w:space="0"/>
              <w:right w:val="single" w:color="000000" w:sz="4" w:space="0"/>
            </w:tcBorders>
            <w:noWrap/>
            <w:vAlign w:val="center"/>
          </w:tcPr>
          <w:p w14:paraId="70A1BF01">
            <w:pPr>
              <w:rPr>
                <w:rFonts w:hint="eastAsia"/>
                <w:color w:val="000000"/>
                <w:highlight w:val="none"/>
              </w:rPr>
            </w:pPr>
          </w:p>
        </w:tc>
      </w:tr>
    </w:tbl>
    <w:p w14:paraId="39AF7288">
      <w:pPr>
        <w:spacing w:before="77" w:line="360" w:lineRule="auto"/>
        <w:rPr>
          <w:rFonts w:hint="eastAsia"/>
          <w:highlight w:val="none"/>
        </w:rPr>
      </w:pPr>
    </w:p>
    <w:p w14:paraId="1AC99896">
      <w:pPr>
        <w:spacing w:line="360" w:lineRule="auto"/>
        <w:rPr>
          <w:rFonts w:hint="eastAsia"/>
          <w:highlight w:val="none"/>
        </w:rPr>
      </w:pPr>
    </w:p>
    <w:p w14:paraId="42EF696A">
      <w:pPr>
        <w:spacing w:line="360" w:lineRule="auto"/>
        <w:rPr>
          <w:rFonts w:hint="eastAsia"/>
          <w:b/>
          <w:bCs/>
          <w:highlight w:val="none"/>
        </w:rPr>
      </w:pPr>
    </w:p>
    <w:p w14:paraId="75ABE6D0">
      <w:pPr>
        <w:pStyle w:val="11"/>
        <w:spacing w:line="360" w:lineRule="auto"/>
        <w:rPr>
          <w:rFonts w:hint="eastAsia"/>
          <w:szCs w:val="24"/>
          <w:highlight w:val="none"/>
          <w:u w:val="single"/>
        </w:rPr>
      </w:pPr>
      <w:r>
        <w:rPr>
          <w:rFonts w:hint="eastAsia"/>
          <w:szCs w:val="24"/>
          <w:highlight w:val="none"/>
        </w:rPr>
        <w:t>供应商法定代表人或委托代理人（签字或盖章）：</w:t>
      </w:r>
    </w:p>
    <w:p w14:paraId="5EC2BB90">
      <w:pPr>
        <w:pStyle w:val="11"/>
        <w:spacing w:line="360" w:lineRule="auto"/>
        <w:rPr>
          <w:rFonts w:hint="eastAsia"/>
          <w:szCs w:val="24"/>
          <w:highlight w:val="none"/>
        </w:rPr>
      </w:pPr>
      <w:r>
        <w:rPr>
          <w:rFonts w:hint="eastAsia"/>
          <w:szCs w:val="24"/>
          <w:highlight w:val="none"/>
        </w:rPr>
        <w:t>投标单位公章：</w:t>
      </w:r>
    </w:p>
    <w:p w14:paraId="6FA262D8">
      <w:pPr>
        <w:spacing w:line="360" w:lineRule="auto"/>
        <w:ind w:firstLine="480" w:firstLineChars="200"/>
        <w:rPr>
          <w:rFonts w:hint="eastAsia"/>
          <w:b/>
          <w:bCs/>
          <w:highlight w:val="none"/>
        </w:rPr>
        <w:sectPr>
          <w:pgSz w:w="11906" w:h="16838"/>
          <w:pgMar w:top="1418" w:right="1418" w:bottom="1418" w:left="1418" w:header="964" w:footer="992" w:gutter="0"/>
          <w:cols w:space="720" w:num="1"/>
          <w:titlePg/>
          <w:docGrid w:type="linesAndChars" w:linePitch="312" w:charSpace="0"/>
        </w:sectPr>
      </w:pPr>
      <w:r>
        <w:rPr>
          <w:rFonts w:hint="eastAsia"/>
          <w:highlight w:val="none"/>
        </w:rPr>
        <w:t>年月日</w:t>
      </w:r>
    </w:p>
    <w:p w14:paraId="43B6E903">
      <w:pPr>
        <w:pStyle w:val="23"/>
        <w:spacing w:line="360" w:lineRule="auto"/>
        <w:rPr>
          <w:rFonts w:hint="eastAsia"/>
          <w:sz w:val="24"/>
          <w:szCs w:val="24"/>
          <w:highlight w:val="none"/>
        </w:rPr>
      </w:pPr>
    </w:p>
    <w:p w14:paraId="5B15EB55">
      <w:pPr>
        <w:pStyle w:val="3"/>
        <w:spacing w:line="360" w:lineRule="auto"/>
        <w:rPr>
          <w:rFonts w:hint="eastAsia" w:ascii="宋体" w:hAnsi="宋体"/>
          <w:highlight w:val="none"/>
        </w:rPr>
      </w:pPr>
      <w:bookmarkStart w:id="124" w:name="_Toc72335532"/>
      <w:r>
        <w:rPr>
          <w:rFonts w:hint="eastAsia" w:ascii="宋体" w:hAnsi="宋体"/>
          <w:highlight w:val="none"/>
        </w:rPr>
        <w:t>三、报价人2023年1月以来承接的与本项目类似业绩一览表格式</w:t>
      </w:r>
      <w:bookmarkEnd w:id="124"/>
    </w:p>
    <w:p w14:paraId="72F21483">
      <w:pPr>
        <w:spacing w:line="360" w:lineRule="auto"/>
        <w:rPr>
          <w:rFonts w:hint="eastAsia"/>
          <w:highlight w:val="none"/>
        </w:rPr>
      </w:pPr>
    </w:p>
    <w:p w14:paraId="4C09D05D">
      <w:pPr>
        <w:spacing w:line="360" w:lineRule="auto"/>
        <w:rPr>
          <w:rFonts w:hint="eastAsia"/>
          <w:highlight w:val="none"/>
        </w:rPr>
      </w:pPr>
      <w:r>
        <w:rPr>
          <w:rFonts w:hint="eastAsia"/>
          <w:highlight w:val="none"/>
        </w:rPr>
        <w:t>项目名称：</w:t>
      </w:r>
    </w:p>
    <w:p w14:paraId="2F8B537B">
      <w:pPr>
        <w:spacing w:line="360" w:lineRule="auto"/>
        <w:rPr>
          <w:rFonts w:hint="eastAsia"/>
          <w:highlight w:val="none"/>
        </w:rPr>
      </w:pPr>
      <w:r>
        <w:rPr>
          <w:rFonts w:hint="eastAsia"/>
          <w:highlight w:val="none"/>
        </w:rPr>
        <w:t>招标编号：</w:t>
      </w:r>
    </w:p>
    <w:tbl>
      <w:tblPr>
        <w:tblStyle w:val="37"/>
        <w:tblW w:w="9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945"/>
        <w:gridCol w:w="1875"/>
        <w:gridCol w:w="1185"/>
        <w:gridCol w:w="1301"/>
        <w:gridCol w:w="1230"/>
        <w:gridCol w:w="900"/>
        <w:gridCol w:w="1080"/>
      </w:tblGrid>
      <w:tr w14:paraId="1447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37" w:type="dxa"/>
            <w:vMerge w:val="restart"/>
            <w:tcBorders>
              <w:top w:val="single" w:color="auto" w:sz="12" w:space="0"/>
              <w:left w:val="single" w:color="auto" w:sz="12" w:space="0"/>
              <w:bottom w:val="single" w:color="auto" w:sz="4" w:space="0"/>
              <w:right w:val="single" w:color="auto" w:sz="4" w:space="0"/>
              <w:tl2br w:val="nil"/>
              <w:tr2bl w:val="nil"/>
            </w:tcBorders>
            <w:vAlign w:val="center"/>
          </w:tcPr>
          <w:p w14:paraId="0F0E6B68">
            <w:pPr>
              <w:pStyle w:val="19"/>
              <w:snapToGrid w:val="0"/>
              <w:spacing w:line="360" w:lineRule="auto"/>
              <w:jc w:val="center"/>
              <w:rPr>
                <w:rFonts w:hAnsi="宋体"/>
                <w:b/>
                <w:szCs w:val="24"/>
                <w:highlight w:val="none"/>
              </w:rPr>
            </w:pPr>
            <w:r>
              <w:rPr>
                <w:rFonts w:hAnsi="宋体"/>
                <w:b/>
                <w:szCs w:val="24"/>
                <w:highlight w:val="none"/>
              </w:rPr>
              <w:t>序号</w:t>
            </w:r>
          </w:p>
        </w:tc>
        <w:tc>
          <w:tcPr>
            <w:tcW w:w="945" w:type="dxa"/>
            <w:vMerge w:val="restart"/>
            <w:tcBorders>
              <w:top w:val="single" w:color="auto" w:sz="12" w:space="0"/>
              <w:left w:val="single" w:color="auto" w:sz="4" w:space="0"/>
              <w:bottom w:val="single" w:color="auto" w:sz="4" w:space="0"/>
              <w:right w:val="single" w:color="000000" w:sz="4" w:space="0"/>
              <w:tl2br w:val="nil"/>
              <w:tr2bl w:val="nil"/>
            </w:tcBorders>
            <w:vAlign w:val="center"/>
          </w:tcPr>
          <w:p w14:paraId="373B2077">
            <w:pPr>
              <w:pStyle w:val="19"/>
              <w:snapToGrid w:val="0"/>
              <w:spacing w:line="360" w:lineRule="auto"/>
              <w:jc w:val="center"/>
              <w:rPr>
                <w:rFonts w:hAnsi="宋体"/>
                <w:b/>
                <w:szCs w:val="24"/>
                <w:highlight w:val="none"/>
              </w:rPr>
            </w:pPr>
            <w:r>
              <w:rPr>
                <w:rFonts w:hAnsi="宋体"/>
                <w:b/>
                <w:szCs w:val="24"/>
                <w:highlight w:val="none"/>
              </w:rPr>
              <w:t>年份</w:t>
            </w:r>
          </w:p>
        </w:tc>
        <w:tc>
          <w:tcPr>
            <w:tcW w:w="1875" w:type="dxa"/>
            <w:vMerge w:val="restart"/>
            <w:tcBorders>
              <w:top w:val="single" w:color="auto" w:sz="12" w:space="0"/>
              <w:left w:val="single" w:color="auto" w:sz="4" w:space="0"/>
              <w:bottom w:val="single" w:color="auto" w:sz="4" w:space="0"/>
              <w:right w:val="single" w:color="auto" w:sz="4" w:space="0"/>
              <w:tl2br w:val="nil"/>
              <w:tr2bl w:val="nil"/>
            </w:tcBorders>
            <w:vAlign w:val="center"/>
          </w:tcPr>
          <w:p w14:paraId="72594B18">
            <w:pPr>
              <w:pStyle w:val="19"/>
              <w:snapToGrid w:val="0"/>
              <w:spacing w:line="360" w:lineRule="auto"/>
              <w:jc w:val="center"/>
              <w:rPr>
                <w:rFonts w:hAnsi="宋体"/>
                <w:b/>
                <w:szCs w:val="24"/>
                <w:highlight w:val="none"/>
              </w:rPr>
            </w:pPr>
            <w:r>
              <w:rPr>
                <w:rFonts w:hAnsi="宋体"/>
                <w:b/>
                <w:szCs w:val="24"/>
                <w:highlight w:val="none"/>
              </w:rPr>
              <w:t>项目名称</w:t>
            </w:r>
          </w:p>
        </w:tc>
        <w:tc>
          <w:tcPr>
            <w:tcW w:w="1185" w:type="dxa"/>
            <w:vMerge w:val="restart"/>
            <w:tcBorders>
              <w:top w:val="single" w:color="auto" w:sz="12" w:space="0"/>
              <w:left w:val="single" w:color="auto" w:sz="4" w:space="0"/>
              <w:bottom w:val="single" w:color="auto" w:sz="4" w:space="0"/>
              <w:right w:val="single" w:color="auto" w:sz="4" w:space="0"/>
              <w:tl2br w:val="nil"/>
              <w:tr2bl w:val="nil"/>
            </w:tcBorders>
            <w:vAlign w:val="center"/>
          </w:tcPr>
          <w:p w14:paraId="66A2DE10">
            <w:pPr>
              <w:pStyle w:val="19"/>
              <w:snapToGrid w:val="0"/>
              <w:spacing w:line="360" w:lineRule="auto"/>
              <w:jc w:val="center"/>
              <w:rPr>
                <w:rFonts w:hAnsi="宋体"/>
                <w:b/>
                <w:szCs w:val="24"/>
                <w:highlight w:val="none"/>
              </w:rPr>
            </w:pPr>
            <w:r>
              <w:rPr>
                <w:rFonts w:hAnsi="宋体"/>
                <w:b/>
                <w:szCs w:val="24"/>
                <w:highlight w:val="none"/>
              </w:rPr>
              <w:t>合同金额（万元）</w:t>
            </w:r>
          </w:p>
        </w:tc>
        <w:tc>
          <w:tcPr>
            <w:tcW w:w="1301" w:type="dxa"/>
            <w:vMerge w:val="restart"/>
            <w:tcBorders>
              <w:top w:val="single" w:color="auto" w:sz="12" w:space="0"/>
              <w:left w:val="single" w:color="auto" w:sz="4" w:space="0"/>
              <w:bottom w:val="single" w:color="auto" w:sz="4" w:space="0"/>
              <w:right w:val="single" w:color="auto" w:sz="4" w:space="0"/>
              <w:tl2br w:val="nil"/>
              <w:tr2bl w:val="nil"/>
            </w:tcBorders>
            <w:vAlign w:val="center"/>
          </w:tcPr>
          <w:p w14:paraId="112DFFE1">
            <w:pPr>
              <w:pStyle w:val="19"/>
              <w:snapToGrid w:val="0"/>
              <w:spacing w:line="360" w:lineRule="auto"/>
              <w:jc w:val="center"/>
              <w:rPr>
                <w:rFonts w:hAnsi="宋体"/>
                <w:b/>
                <w:szCs w:val="24"/>
                <w:highlight w:val="none"/>
              </w:rPr>
            </w:pPr>
            <w:r>
              <w:rPr>
                <w:rFonts w:hAnsi="宋体"/>
                <w:b/>
                <w:szCs w:val="24"/>
                <w:highlight w:val="none"/>
              </w:rPr>
              <w:t>服务年限</w:t>
            </w:r>
          </w:p>
        </w:tc>
        <w:tc>
          <w:tcPr>
            <w:tcW w:w="3210" w:type="dxa"/>
            <w:gridSpan w:val="3"/>
            <w:tcBorders>
              <w:top w:val="single" w:color="auto" w:sz="12" w:space="0"/>
              <w:left w:val="single" w:color="auto" w:sz="4" w:space="0"/>
              <w:bottom w:val="single" w:color="auto" w:sz="4" w:space="0"/>
              <w:right w:val="single" w:color="auto" w:sz="12" w:space="0"/>
              <w:tl2br w:val="nil"/>
              <w:tr2bl w:val="nil"/>
            </w:tcBorders>
            <w:vAlign w:val="center"/>
          </w:tcPr>
          <w:p w14:paraId="2CBE1C14">
            <w:pPr>
              <w:pStyle w:val="19"/>
              <w:snapToGrid w:val="0"/>
              <w:spacing w:line="360" w:lineRule="auto"/>
              <w:jc w:val="center"/>
              <w:rPr>
                <w:rFonts w:hAnsi="宋体"/>
                <w:b/>
                <w:szCs w:val="24"/>
                <w:highlight w:val="none"/>
              </w:rPr>
            </w:pPr>
            <w:r>
              <w:rPr>
                <w:rFonts w:hAnsi="宋体"/>
                <w:b/>
                <w:szCs w:val="24"/>
                <w:highlight w:val="none"/>
              </w:rPr>
              <w:t>业主情况</w:t>
            </w:r>
          </w:p>
        </w:tc>
      </w:tr>
      <w:tr w14:paraId="3A79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37" w:type="dxa"/>
            <w:vMerge w:val="continue"/>
            <w:tcBorders>
              <w:top w:val="single" w:color="auto" w:sz="4" w:space="0"/>
              <w:left w:val="single" w:color="auto" w:sz="12" w:space="0"/>
              <w:bottom w:val="single" w:color="auto" w:sz="4" w:space="0"/>
              <w:right w:val="single" w:color="auto" w:sz="4" w:space="0"/>
              <w:tl2br w:val="nil"/>
              <w:tr2bl w:val="nil"/>
            </w:tcBorders>
            <w:vAlign w:val="center"/>
          </w:tcPr>
          <w:p w14:paraId="2677D6D5">
            <w:pPr>
              <w:spacing w:line="360" w:lineRule="auto"/>
              <w:rPr>
                <w:rFonts w:hint="eastAsia"/>
                <w:highlight w:val="none"/>
              </w:rPr>
            </w:pPr>
          </w:p>
        </w:tc>
        <w:tc>
          <w:tcPr>
            <w:tcW w:w="945" w:type="dxa"/>
            <w:vMerge w:val="continue"/>
            <w:tcBorders>
              <w:top w:val="single" w:color="auto" w:sz="4" w:space="0"/>
              <w:left w:val="single" w:color="auto" w:sz="4" w:space="0"/>
              <w:bottom w:val="single" w:color="auto" w:sz="4" w:space="0"/>
              <w:right w:val="single" w:color="000000" w:sz="4" w:space="0"/>
              <w:tl2br w:val="nil"/>
              <w:tr2bl w:val="nil"/>
            </w:tcBorders>
            <w:vAlign w:val="center"/>
          </w:tcPr>
          <w:p w14:paraId="5E79702F">
            <w:pPr>
              <w:spacing w:line="360" w:lineRule="auto"/>
              <w:rPr>
                <w:rFonts w:hint="eastAsia"/>
                <w:highlight w:val="none"/>
              </w:rPr>
            </w:pPr>
          </w:p>
        </w:tc>
        <w:tc>
          <w:tcPr>
            <w:tcW w:w="18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3D1ADDD">
            <w:pPr>
              <w:spacing w:line="360" w:lineRule="auto"/>
              <w:rPr>
                <w:rFonts w:hint="eastAsia"/>
                <w:highlight w:val="none"/>
              </w:rPr>
            </w:pPr>
          </w:p>
        </w:tc>
        <w:tc>
          <w:tcPr>
            <w:tcW w:w="118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E07DB9D">
            <w:pPr>
              <w:spacing w:line="360" w:lineRule="auto"/>
              <w:rPr>
                <w:rFonts w:hint="eastAsia"/>
                <w:highlight w:val="none"/>
              </w:rPr>
            </w:pPr>
          </w:p>
        </w:tc>
        <w:tc>
          <w:tcPr>
            <w:tcW w:w="130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E80F845">
            <w:pPr>
              <w:spacing w:line="360" w:lineRule="auto"/>
              <w:rPr>
                <w:rFonts w:hint="eastAsia"/>
                <w:highlight w:val="none"/>
              </w:rPr>
            </w:pPr>
          </w:p>
        </w:tc>
        <w:tc>
          <w:tcPr>
            <w:tcW w:w="1230" w:type="dxa"/>
            <w:tcBorders>
              <w:top w:val="single" w:color="auto" w:sz="4" w:space="0"/>
              <w:left w:val="single" w:color="auto" w:sz="4" w:space="0"/>
              <w:bottom w:val="single" w:color="auto" w:sz="4" w:space="0"/>
              <w:right w:val="single" w:color="auto" w:sz="4" w:space="0"/>
              <w:tl2br w:val="nil"/>
              <w:tr2bl w:val="nil"/>
            </w:tcBorders>
            <w:vAlign w:val="center"/>
          </w:tcPr>
          <w:p w14:paraId="54C12790">
            <w:pPr>
              <w:pStyle w:val="19"/>
              <w:snapToGrid w:val="0"/>
              <w:spacing w:line="360" w:lineRule="auto"/>
              <w:jc w:val="center"/>
              <w:rPr>
                <w:rFonts w:hAnsi="宋体"/>
                <w:b/>
                <w:szCs w:val="24"/>
                <w:highlight w:val="none"/>
              </w:rPr>
            </w:pPr>
            <w:r>
              <w:rPr>
                <w:rFonts w:hAnsi="宋体"/>
                <w:b/>
                <w:szCs w:val="24"/>
                <w:highlight w:val="none"/>
              </w:rPr>
              <w:t>单位名称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14:paraId="11179782">
            <w:pPr>
              <w:pStyle w:val="19"/>
              <w:snapToGrid w:val="0"/>
              <w:spacing w:line="360" w:lineRule="auto"/>
              <w:jc w:val="center"/>
              <w:rPr>
                <w:rFonts w:hAnsi="宋体"/>
                <w:b/>
                <w:szCs w:val="24"/>
                <w:highlight w:val="none"/>
              </w:rPr>
            </w:pPr>
            <w:r>
              <w:rPr>
                <w:rFonts w:hAnsi="宋体"/>
                <w:b/>
                <w:szCs w:val="24"/>
                <w:highlight w:val="none"/>
              </w:rPr>
              <w:t>经办人</w:t>
            </w:r>
          </w:p>
        </w:tc>
        <w:tc>
          <w:tcPr>
            <w:tcW w:w="1080" w:type="dxa"/>
            <w:tcBorders>
              <w:top w:val="single" w:color="auto" w:sz="4" w:space="0"/>
              <w:left w:val="single" w:color="auto" w:sz="4" w:space="0"/>
              <w:bottom w:val="single" w:color="auto" w:sz="4" w:space="0"/>
              <w:right w:val="single" w:color="auto" w:sz="12" w:space="0"/>
              <w:tl2br w:val="nil"/>
              <w:tr2bl w:val="nil"/>
            </w:tcBorders>
            <w:vAlign w:val="center"/>
          </w:tcPr>
          <w:p w14:paraId="511C01AF">
            <w:pPr>
              <w:pStyle w:val="19"/>
              <w:snapToGrid w:val="0"/>
              <w:spacing w:line="360" w:lineRule="auto"/>
              <w:jc w:val="center"/>
              <w:rPr>
                <w:rFonts w:hAnsi="宋体"/>
                <w:b/>
                <w:szCs w:val="24"/>
                <w:highlight w:val="none"/>
              </w:rPr>
            </w:pPr>
            <w:r>
              <w:rPr>
                <w:rFonts w:hAnsi="宋体"/>
                <w:b/>
                <w:szCs w:val="24"/>
                <w:highlight w:val="none"/>
              </w:rPr>
              <w:t>联系方式</w:t>
            </w:r>
          </w:p>
        </w:tc>
      </w:tr>
      <w:tr w14:paraId="4AC2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37" w:type="dxa"/>
            <w:tcBorders>
              <w:top w:val="single" w:color="auto" w:sz="4" w:space="0"/>
              <w:left w:val="single" w:color="auto" w:sz="12" w:space="0"/>
              <w:bottom w:val="single" w:color="auto" w:sz="4" w:space="0"/>
              <w:right w:val="single" w:color="auto" w:sz="4" w:space="0"/>
              <w:tl2br w:val="nil"/>
              <w:tr2bl w:val="nil"/>
            </w:tcBorders>
            <w:vAlign w:val="center"/>
          </w:tcPr>
          <w:p w14:paraId="61DFCCE6">
            <w:pPr>
              <w:pStyle w:val="19"/>
              <w:snapToGrid w:val="0"/>
              <w:spacing w:line="360" w:lineRule="auto"/>
              <w:jc w:val="center"/>
              <w:rPr>
                <w:rFonts w:hAnsi="宋体"/>
                <w:szCs w:val="24"/>
                <w:highlight w:val="none"/>
              </w:rPr>
            </w:pPr>
            <w:r>
              <w:rPr>
                <w:rFonts w:hAnsi="宋体"/>
                <w:szCs w:val="24"/>
                <w:highlight w:val="none"/>
              </w:rPr>
              <w:t>1</w:t>
            </w:r>
          </w:p>
        </w:tc>
        <w:tc>
          <w:tcPr>
            <w:tcW w:w="945" w:type="dxa"/>
            <w:tcBorders>
              <w:top w:val="single" w:color="auto" w:sz="4" w:space="0"/>
              <w:left w:val="single" w:color="auto" w:sz="4" w:space="0"/>
              <w:bottom w:val="single" w:color="auto" w:sz="4" w:space="0"/>
              <w:right w:val="single" w:color="000000" w:sz="4" w:space="0"/>
              <w:tl2br w:val="nil"/>
              <w:tr2bl w:val="nil"/>
            </w:tcBorders>
            <w:vAlign w:val="center"/>
          </w:tcPr>
          <w:p w14:paraId="61C4866B">
            <w:pPr>
              <w:pStyle w:val="19"/>
              <w:snapToGrid w:val="0"/>
              <w:spacing w:line="360" w:lineRule="auto"/>
              <w:jc w:val="center"/>
              <w:rPr>
                <w:rFonts w:hAnsi="宋体"/>
                <w:szCs w:val="24"/>
                <w:highlight w:val="none"/>
              </w:rPr>
            </w:pPr>
          </w:p>
        </w:tc>
        <w:tc>
          <w:tcPr>
            <w:tcW w:w="1875" w:type="dxa"/>
            <w:tcBorders>
              <w:top w:val="single" w:color="auto" w:sz="4" w:space="0"/>
              <w:left w:val="single" w:color="auto" w:sz="4" w:space="0"/>
              <w:bottom w:val="single" w:color="auto" w:sz="4" w:space="0"/>
              <w:right w:val="single" w:color="auto" w:sz="4" w:space="0"/>
              <w:tl2br w:val="nil"/>
              <w:tr2bl w:val="nil"/>
            </w:tcBorders>
            <w:vAlign w:val="center"/>
          </w:tcPr>
          <w:p w14:paraId="4B65A22B">
            <w:pPr>
              <w:pStyle w:val="19"/>
              <w:snapToGrid w:val="0"/>
              <w:spacing w:line="360" w:lineRule="auto"/>
              <w:jc w:val="center"/>
              <w:rPr>
                <w:rFonts w:hAnsi="宋体"/>
                <w:szCs w:val="24"/>
                <w:highlight w:val="none"/>
              </w:rPr>
            </w:pPr>
          </w:p>
        </w:tc>
        <w:tc>
          <w:tcPr>
            <w:tcW w:w="1185" w:type="dxa"/>
            <w:tcBorders>
              <w:top w:val="single" w:color="auto" w:sz="4" w:space="0"/>
              <w:left w:val="single" w:color="auto" w:sz="4" w:space="0"/>
              <w:bottom w:val="single" w:color="auto" w:sz="4" w:space="0"/>
              <w:right w:val="single" w:color="auto" w:sz="4" w:space="0"/>
              <w:tl2br w:val="nil"/>
              <w:tr2bl w:val="nil"/>
            </w:tcBorders>
            <w:vAlign w:val="center"/>
          </w:tcPr>
          <w:p w14:paraId="150B29A9">
            <w:pPr>
              <w:pStyle w:val="19"/>
              <w:snapToGrid w:val="0"/>
              <w:spacing w:line="360" w:lineRule="auto"/>
              <w:jc w:val="center"/>
              <w:rPr>
                <w:rFonts w:hAnsi="宋体"/>
                <w:szCs w:val="24"/>
                <w:highlight w:val="none"/>
              </w:rPr>
            </w:pPr>
          </w:p>
        </w:tc>
        <w:tc>
          <w:tcPr>
            <w:tcW w:w="1301" w:type="dxa"/>
            <w:tcBorders>
              <w:top w:val="single" w:color="auto" w:sz="4" w:space="0"/>
              <w:left w:val="single" w:color="auto" w:sz="4" w:space="0"/>
              <w:bottom w:val="single" w:color="auto" w:sz="4" w:space="0"/>
              <w:right w:val="single" w:color="auto" w:sz="4" w:space="0"/>
              <w:tl2br w:val="nil"/>
              <w:tr2bl w:val="nil"/>
            </w:tcBorders>
            <w:vAlign w:val="center"/>
          </w:tcPr>
          <w:p w14:paraId="6849EA4B">
            <w:pPr>
              <w:pStyle w:val="19"/>
              <w:snapToGrid w:val="0"/>
              <w:spacing w:line="360" w:lineRule="auto"/>
              <w:jc w:val="center"/>
              <w:rPr>
                <w:rFonts w:hAnsi="宋体"/>
                <w:szCs w:val="24"/>
                <w:highlight w:val="none"/>
              </w:rPr>
            </w:pPr>
          </w:p>
        </w:tc>
        <w:tc>
          <w:tcPr>
            <w:tcW w:w="1230" w:type="dxa"/>
            <w:tcBorders>
              <w:top w:val="single" w:color="auto" w:sz="4" w:space="0"/>
              <w:left w:val="single" w:color="auto" w:sz="4" w:space="0"/>
              <w:bottom w:val="single" w:color="auto" w:sz="4" w:space="0"/>
              <w:right w:val="single" w:color="auto" w:sz="4" w:space="0"/>
              <w:tl2br w:val="nil"/>
              <w:tr2bl w:val="nil"/>
            </w:tcBorders>
            <w:vAlign w:val="center"/>
          </w:tcPr>
          <w:p w14:paraId="76AE3E65">
            <w:pPr>
              <w:pStyle w:val="19"/>
              <w:snapToGrid w:val="0"/>
              <w:spacing w:line="360" w:lineRule="auto"/>
              <w:jc w:val="center"/>
              <w:rPr>
                <w:rFonts w:hAnsi="宋体"/>
                <w:szCs w:val="24"/>
                <w:highlight w:val="none"/>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14:paraId="159CB243">
            <w:pPr>
              <w:pStyle w:val="19"/>
              <w:snapToGrid w:val="0"/>
              <w:spacing w:line="360" w:lineRule="auto"/>
              <w:jc w:val="center"/>
              <w:rPr>
                <w:rFonts w:hAnsi="宋体"/>
                <w:szCs w:val="24"/>
                <w:highlight w:val="none"/>
              </w:rPr>
            </w:pPr>
          </w:p>
        </w:tc>
        <w:tc>
          <w:tcPr>
            <w:tcW w:w="1080" w:type="dxa"/>
            <w:tcBorders>
              <w:top w:val="single" w:color="auto" w:sz="4" w:space="0"/>
              <w:left w:val="single" w:color="auto" w:sz="4" w:space="0"/>
              <w:bottom w:val="single" w:color="auto" w:sz="4" w:space="0"/>
              <w:right w:val="single" w:color="auto" w:sz="12" w:space="0"/>
              <w:tl2br w:val="nil"/>
              <w:tr2bl w:val="nil"/>
            </w:tcBorders>
            <w:vAlign w:val="center"/>
          </w:tcPr>
          <w:p w14:paraId="376F7AB3">
            <w:pPr>
              <w:pStyle w:val="19"/>
              <w:snapToGrid w:val="0"/>
              <w:spacing w:line="360" w:lineRule="auto"/>
              <w:jc w:val="center"/>
              <w:rPr>
                <w:rFonts w:hAnsi="宋体"/>
                <w:szCs w:val="24"/>
                <w:highlight w:val="none"/>
              </w:rPr>
            </w:pPr>
          </w:p>
        </w:tc>
      </w:tr>
      <w:tr w14:paraId="7A83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37" w:type="dxa"/>
            <w:tcBorders>
              <w:top w:val="single" w:color="auto" w:sz="4" w:space="0"/>
              <w:left w:val="single" w:color="auto" w:sz="12" w:space="0"/>
              <w:bottom w:val="single" w:color="auto" w:sz="4" w:space="0"/>
              <w:right w:val="single" w:color="auto" w:sz="4" w:space="0"/>
              <w:tl2br w:val="nil"/>
              <w:tr2bl w:val="nil"/>
            </w:tcBorders>
            <w:vAlign w:val="center"/>
          </w:tcPr>
          <w:p w14:paraId="3331996B">
            <w:pPr>
              <w:pStyle w:val="19"/>
              <w:snapToGrid w:val="0"/>
              <w:spacing w:line="360" w:lineRule="auto"/>
              <w:jc w:val="center"/>
              <w:rPr>
                <w:rFonts w:hAnsi="宋体"/>
                <w:szCs w:val="24"/>
                <w:highlight w:val="none"/>
              </w:rPr>
            </w:pPr>
            <w:r>
              <w:rPr>
                <w:rFonts w:hAnsi="宋体"/>
                <w:szCs w:val="24"/>
                <w:highlight w:val="none"/>
              </w:rPr>
              <w:t>2</w:t>
            </w:r>
          </w:p>
        </w:tc>
        <w:tc>
          <w:tcPr>
            <w:tcW w:w="945" w:type="dxa"/>
            <w:tcBorders>
              <w:top w:val="single" w:color="auto" w:sz="4" w:space="0"/>
              <w:left w:val="single" w:color="auto" w:sz="4" w:space="0"/>
              <w:bottom w:val="single" w:color="auto" w:sz="4" w:space="0"/>
              <w:right w:val="single" w:color="000000" w:sz="4" w:space="0"/>
              <w:tl2br w:val="nil"/>
              <w:tr2bl w:val="nil"/>
            </w:tcBorders>
            <w:vAlign w:val="center"/>
          </w:tcPr>
          <w:p w14:paraId="10D77DC8">
            <w:pPr>
              <w:pStyle w:val="19"/>
              <w:snapToGrid w:val="0"/>
              <w:spacing w:line="360" w:lineRule="auto"/>
              <w:jc w:val="center"/>
              <w:rPr>
                <w:rFonts w:hAnsi="宋体"/>
                <w:szCs w:val="24"/>
                <w:highlight w:val="none"/>
              </w:rPr>
            </w:pPr>
          </w:p>
        </w:tc>
        <w:tc>
          <w:tcPr>
            <w:tcW w:w="1875" w:type="dxa"/>
            <w:tcBorders>
              <w:top w:val="single" w:color="auto" w:sz="4" w:space="0"/>
              <w:left w:val="single" w:color="auto" w:sz="4" w:space="0"/>
              <w:bottom w:val="single" w:color="auto" w:sz="4" w:space="0"/>
              <w:right w:val="single" w:color="auto" w:sz="4" w:space="0"/>
              <w:tl2br w:val="nil"/>
              <w:tr2bl w:val="nil"/>
            </w:tcBorders>
            <w:vAlign w:val="center"/>
          </w:tcPr>
          <w:p w14:paraId="36012851">
            <w:pPr>
              <w:pStyle w:val="19"/>
              <w:snapToGrid w:val="0"/>
              <w:spacing w:line="360" w:lineRule="auto"/>
              <w:jc w:val="center"/>
              <w:rPr>
                <w:rFonts w:hAnsi="宋体"/>
                <w:szCs w:val="24"/>
                <w:highlight w:val="none"/>
              </w:rPr>
            </w:pPr>
          </w:p>
        </w:tc>
        <w:tc>
          <w:tcPr>
            <w:tcW w:w="1185" w:type="dxa"/>
            <w:tcBorders>
              <w:top w:val="single" w:color="auto" w:sz="4" w:space="0"/>
              <w:left w:val="single" w:color="auto" w:sz="4" w:space="0"/>
              <w:bottom w:val="single" w:color="auto" w:sz="4" w:space="0"/>
              <w:right w:val="single" w:color="auto" w:sz="4" w:space="0"/>
              <w:tl2br w:val="nil"/>
              <w:tr2bl w:val="nil"/>
            </w:tcBorders>
            <w:vAlign w:val="center"/>
          </w:tcPr>
          <w:p w14:paraId="657469EA">
            <w:pPr>
              <w:pStyle w:val="19"/>
              <w:snapToGrid w:val="0"/>
              <w:spacing w:line="360" w:lineRule="auto"/>
              <w:jc w:val="center"/>
              <w:rPr>
                <w:rFonts w:hAnsi="宋体"/>
                <w:szCs w:val="24"/>
                <w:highlight w:val="none"/>
              </w:rPr>
            </w:pPr>
          </w:p>
        </w:tc>
        <w:tc>
          <w:tcPr>
            <w:tcW w:w="1301" w:type="dxa"/>
            <w:tcBorders>
              <w:top w:val="single" w:color="auto" w:sz="4" w:space="0"/>
              <w:left w:val="single" w:color="auto" w:sz="4" w:space="0"/>
              <w:bottom w:val="single" w:color="auto" w:sz="4" w:space="0"/>
              <w:right w:val="single" w:color="auto" w:sz="4" w:space="0"/>
              <w:tl2br w:val="nil"/>
              <w:tr2bl w:val="nil"/>
            </w:tcBorders>
            <w:vAlign w:val="center"/>
          </w:tcPr>
          <w:p w14:paraId="3E102294">
            <w:pPr>
              <w:pStyle w:val="19"/>
              <w:snapToGrid w:val="0"/>
              <w:spacing w:line="360" w:lineRule="auto"/>
              <w:jc w:val="center"/>
              <w:rPr>
                <w:rFonts w:hAnsi="宋体"/>
                <w:szCs w:val="24"/>
                <w:highlight w:val="none"/>
              </w:rPr>
            </w:pPr>
          </w:p>
        </w:tc>
        <w:tc>
          <w:tcPr>
            <w:tcW w:w="1230" w:type="dxa"/>
            <w:tcBorders>
              <w:top w:val="single" w:color="auto" w:sz="4" w:space="0"/>
              <w:left w:val="single" w:color="auto" w:sz="4" w:space="0"/>
              <w:bottom w:val="single" w:color="auto" w:sz="4" w:space="0"/>
              <w:right w:val="single" w:color="auto" w:sz="4" w:space="0"/>
              <w:tl2br w:val="nil"/>
              <w:tr2bl w:val="nil"/>
            </w:tcBorders>
            <w:vAlign w:val="center"/>
          </w:tcPr>
          <w:p w14:paraId="0C0B692D">
            <w:pPr>
              <w:pStyle w:val="19"/>
              <w:snapToGrid w:val="0"/>
              <w:spacing w:line="360" w:lineRule="auto"/>
              <w:jc w:val="center"/>
              <w:rPr>
                <w:rFonts w:hAnsi="宋体"/>
                <w:szCs w:val="24"/>
                <w:highlight w:val="none"/>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14:paraId="2CCE9BEC">
            <w:pPr>
              <w:pStyle w:val="19"/>
              <w:snapToGrid w:val="0"/>
              <w:spacing w:line="360" w:lineRule="auto"/>
              <w:jc w:val="center"/>
              <w:rPr>
                <w:rFonts w:hAnsi="宋体"/>
                <w:szCs w:val="24"/>
                <w:highlight w:val="none"/>
              </w:rPr>
            </w:pPr>
          </w:p>
        </w:tc>
        <w:tc>
          <w:tcPr>
            <w:tcW w:w="1080" w:type="dxa"/>
            <w:tcBorders>
              <w:top w:val="single" w:color="auto" w:sz="4" w:space="0"/>
              <w:left w:val="single" w:color="auto" w:sz="4" w:space="0"/>
              <w:bottom w:val="single" w:color="auto" w:sz="4" w:space="0"/>
              <w:right w:val="single" w:color="auto" w:sz="12" w:space="0"/>
              <w:tl2br w:val="nil"/>
              <w:tr2bl w:val="nil"/>
            </w:tcBorders>
            <w:vAlign w:val="center"/>
          </w:tcPr>
          <w:p w14:paraId="0D406589">
            <w:pPr>
              <w:pStyle w:val="19"/>
              <w:snapToGrid w:val="0"/>
              <w:spacing w:line="360" w:lineRule="auto"/>
              <w:jc w:val="center"/>
              <w:rPr>
                <w:rFonts w:hAnsi="宋体"/>
                <w:szCs w:val="24"/>
                <w:highlight w:val="none"/>
              </w:rPr>
            </w:pPr>
          </w:p>
        </w:tc>
      </w:tr>
      <w:tr w14:paraId="6EF2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37" w:type="dxa"/>
            <w:tcBorders>
              <w:top w:val="single" w:color="auto" w:sz="4" w:space="0"/>
              <w:left w:val="single" w:color="auto" w:sz="12" w:space="0"/>
              <w:bottom w:val="single" w:color="auto" w:sz="4" w:space="0"/>
              <w:right w:val="single" w:color="auto" w:sz="4" w:space="0"/>
              <w:tl2br w:val="nil"/>
              <w:tr2bl w:val="nil"/>
            </w:tcBorders>
            <w:vAlign w:val="center"/>
          </w:tcPr>
          <w:p w14:paraId="30395383">
            <w:pPr>
              <w:pStyle w:val="19"/>
              <w:snapToGrid w:val="0"/>
              <w:spacing w:line="360" w:lineRule="auto"/>
              <w:jc w:val="center"/>
              <w:rPr>
                <w:rFonts w:hAnsi="宋体"/>
                <w:szCs w:val="24"/>
                <w:highlight w:val="none"/>
              </w:rPr>
            </w:pPr>
            <w:r>
              <w:rPr>
                <w:rFonts w:hAnsi="宋体"/>
                <w:szCs w:val="24"/>
                <w:highlight w:val="none"/>
              </w:rPr>
              <w:t>3</w:t>
            </w:r>
          </w:p>
        </w:tc>
        <w:tc>
          <w:tcPr>
            <w:tcW w:w="945" w:type="dxa"/>
            <w:tcBorders>
              <w:top w:val="single" w:color="auto" w:sz="4" w:space="0"/>
              <w:left w:val="single" w:color="auto" w:sz="4" w:space="0"/>
              <w:bottom w:val="single" w:color="auto" w:sz="4" w:space="0"/>
              <w:right w:val="single" w:color="000000" w:sz="4" w:space="0"/>
              <w:tl2br w:val="nil"/>
              <w:tr2bl w:val="nil"/>
            </w:tcBorders>
            <w:vAlign w:val="center"/>
          </w:tcPr>
          <w:p w14:paraId="22458B0E">
            <w:pPr>
              <w:pStyle w:val="19"/>
              <w:snapToGrid w:val="0"/>
              <w:spacing w:line="360" w:lineRule="auto"/>
              <w:jc w:val="center"/>
              <w:rPr>
                <w:rFonts w:hAnsi="宋体"/>
                <w:szCs w:val="24"/>
                <w:highlight w:val="none"/>
              </w:rPr>
            </w:pPr>
          </w:p>
        </w:tc>
        <w:tc>
          <w:tcPr>
            <w:tcW w:w="1875" w:type="dxa"/>
            <w:tcBorders>
              <w:top w:val="single" w:color="auto" w:sz="4" w:space="0"/>
              <w:left w:val="single" w:color="auto" w:sz="4" w:space="0"/>
              <w:bottom w:val="single" w:color="auto" w:sz="4" w:space="0"/>
              <w:right w:val="single" w:color="auto" w:sz="4" w:space="0"/>
              <w:tl2br w:val="nil"/>
              <w:tr2bl w:val="nil"/>
            </w:tcBorders>
            <w:vAlign w:val="center"/>
          </w:tcPr>
          <w:p w14:paraId="60F44FFB">
            <w:pPr>
              <w:pStyle w:val="19"/>
              <w:snapToGrid w:val="0"/>
              <w:spacing w:line="360" w:lineRule="auto"/>
              <w:jc w:val="center"/>
              <w:rPr>
                <w:rFonts w:hAnsi="宋体"/>
                <w:szCs w:val="24"/>
                <w:highlight w:val="none"/>
              </w:rPr>
            </w:pPr>
          </w:p>
        </w:tc>
        <w:tc>
          <w:tcPr>
            <w:tcW w:w="1185" w:type="dxa"/>
            <w:tcBorders>
              <w:top w:val="single" w:color="auto" w:sz="4" w:space="0"/>
              <w:left w:val="single" w:color="auto" w:sz="4" w:space="0"/>
              <w:bottom w:val="single" w:color="auto" w:sz="4" w:space="0"/>
              <w:right w:val="single" w:color="auto" w:sz="4" w:space="0"/>
              <w:tl2br w:val="nil"/>
              <w:tr2bl w:val="nil"/>
            </w:tcBorders>
            <w:vAlign w:val="center"/>
          </w:tcPr>
          <w:p w14:paraId="17AD3D5B">
            <w:pPr>
              <w:pStyle w:val="19"/>
              <w:snapToGrid w:val="0"/>
              <w:spacing w:line="360" w:lineRule="auto"/>
              <w:jc w:val="center"/>
              <w:rPr>
                <w:rFonts w:hAnsi="宋体"/>
                <w:szCs w:val="24"/>
                <w:highlight w:val="none"/>
              </w:rPr>
            </w:pPr>
          </w:p>
        </w:tc>
        <w:tc>
          <w:tcPr>
            <w:tcW w:w="1301" w:type="dxa"/>
            <w:tcBorders>
              <w:top w:val="single" w:color="auto" w:sz="4" w:space="0"/>
              <w:left w:val="single" w:color="auto" w:sz="4" w:space="0"/>
              <w:bottom w:val="single" w:color="auto" w:sz="4" w:space="0"/>
              <w:right w:val="single" w:color="auto" w:sz="4" w:space="0"/>
              <w:tl2br w:val="nil"/>
              <w:tr2bl w:val="nil"/>
            </w:tcBorders>
            <w:vAlign w:val="center"/>
          </w:tcPr>
          <w:p w14:paraId="6C17987C">
            <w:pPr>
              <w:pStyle w:val="19"/>
              <w:snapToGrid w:val="0"/>
              <w:spacing w:line="360" w:lineRule="auto"/>
              <w:jc w:val="center"/>
              <w:rPr>
                <w:rFonts w:hAnsi="宋体"/>
                <w:szCs w:val="24"/>
                <w:highlight w:val="none"/>
              </w:rPr>
            </w:pPr>
          </w:p>
        </w:tc>
        <w:tc>
          <w:tcPr>
            <w:tcW w:w="1230" w:type="dxa"/>
            <w:tcBorders>
              <w:top w:val="single" w:color="auto" w:sz="4" w:space="0"/>
              <w:left w:val="single" w:color="auto" w:sz="4" w:space="0"/>
              <w:bottom w:val="single" w:color="auto" w:sz="4" w:space="0"/>
              <w:right w:val="single" w:color="auto" w:sz="4" w:space="0"/>
              <w:tl2br w:val="nil"/>
              <w:tr2bl w:val="nil"/>
            </w:tcBorders>
            <w:vAlign w:val="center"/>
          </w:tcPr>
          <w:p w14:paraId="6041B160">
            <w:pPr>
              <w:pStyle w:val="19"/>
              <w:snapToGrid w:val="0"/>
              <w:spacing w:line="360" w:lineRule="auto"/>
              <w:jc w:val="center"/>
              <w:rPr>
                <w:rFonts w:hAnsi="宋体"/>
                <w:szCs w:val="24"/>
                <w:highlight w:val="none"/>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14:paraId="533E921B">
            <w:pPr>
              <w:pStyle w:val="19"/>
              <w:snapToGrid w:val="0"/>
              <w:spacing w:line="360" w:lineRule="auto"/>
              <w:jc w:val="center"/>
              <w:rPr>
                <w:rFonts w:hAnsi="宋体"/>
                <w:szCs w:val="24"/>
                <w:highlight w:val="none"/>
              </w:rPr>
            </w:pPr>
          </w:p>
        </w:tc>
        <w:tc>
          <w:tcPr>
            <w:tcW w:w="1080" w:type="dxa"/>
            <w:tcBorders>
              <w:top w:val="single" w:color="auto" w:sz="4" w:space="0"/>
              <w:left w:val="single" w:color="auto" w:sz="4" w:space="0"/>
              <w:bottom w:val="single" w:color="auto" w:sz="4" w:space="0"/>
              <w:right w:val="single" w:color="auto" w:sz="12" w:space="0"/>
              <w:tl2br w:val="nil"/>
              <w:tr2bl w:val="nil"/>
            </w:tcBorders>
            <w:vAlign w:val="center"/>
          </w:tcPr>
          <w:p w14:paraId="2277F4AC">
            <w:pPr>
              <w:pStyle w:val="19"/>
              <w:snapToGrid w:val="0"/>
              <w:spacing w:line="360" w:lineRule="auto"/>
              <w:jc w:val="center"/>
              <w:rPr>
                <w:rFonts w:hAnsi="宋体"/>
                <w:szCs w:val="24"/>
                <w:highlight w:val="none"/>
              </w:rPr>
            </w:pPr>
          </w:p>
        </w:tc>
      </w:tr>
      <w:tr w14:paraId="7D95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37" w:type="dxa"/>
            <w:tcBorders>
              <w:top w:val="single" w:color="auto" w:sz="4" w:space="0"/>
              <w:left w:val="single" w:color="auto" w:sz="12" w:space="0"/>
              <w:bottom w:val="single" w:color="auto" w:sz="12" w:space="0"/>
              <w:right w:val="single" w:color="auto" w:sz="4" w:space="0"/>
              <w:tl2br w:val="nil"/>
              <w:tr2bl w:val="nil"/>
            </w:tcBorders>
            <w:vAlign w:val="center"/>
          </w:tcPr>
          <w:p w14:paraId="5934FAE2">
            <w:pPr>
              <w:pStyle w:val="19"/>
              <w:snapToGrid w:val="0"/>
              <w:spacing w:line="360" w:lineRule="auto"/>
              <w:jc w:val="center"/>
              <w:rPr>
                <w:rFonts w:hAnsi="宋体"/>
                <w:szCs w:val="24"/>
                <w:highlight w:val="none"/>
              </w:rPr>
            </w:pPr>
            <w:r>
              <w:rPr>
                <w:rFonts w:hAnsi="宋体"/>
                <w:szCs w:val="24"/>
                <w:highlight w:val="none"/>
              </w:rPr>
              <w:t>4</w:t>
            </w:r>
          </w:p>
        </w:tc>
        <w:tc>
          <w:tcPr>
            <w:tcW w:w="945" w:type="dxa"/>
            <w:tcBorders>
              <w:top w:val="single" w:color="auto" w:sz="4" w:space="0"/>
              <w:left w:val="single" w:color="auto" w:sz="4" w:space="0"/>
              <w:bottom w:val="single" w:color="auto" w:sz="12" w:space="0"/>
              <w:right w:val="single" w:color="000000" w:sz="4" w:space="0"/>
              <w:tl2br w:val="nil"/>
              <w:tr2bl w:val="nil"/>
            </w:tcBorders>
            <w:vAlign w:val="center"/>
          </w:tcPr>
          <w:p w14:paraId="6089976D">
            <w:pPr>
              <w:pStyle w:val="19"/>
              <w:snapToGrid w:val="0"/>
              <w:spacing w:line="360" w:lineRule="auto"/>
              <w:jc w:val="center"/>
              <w:rPr>
                <w:rFonts w:hAnsi="宋体"/>
                <w:szCs w:val="24"/>
                <w:highlight w:val="none"/>
              </w:rPr>
            </w:pPr>
          </w:p>
        </w:tc>
        <w:tc>
          <w:tcPr>
            <w:tcW w:w="1875" w:type="dxa"/>
            <w:tcBorders>
              <w:top w:val="single" w:color="auto" w:sz="4" w:space="0"/>
              <w:left w:val="single" w:color="auto" w:sz="4" w:space="0"/>
              <w:bottom w:val="single" w:color="auto" w:sz="12" w:space="0"/>
              <w:right w:val="single" w:color="auto" w:sz="4" w:space="0"/>
              <w:tl2br w:val="nil"/>
              <w:tr2bl w:val="nil"/>
            </w:tcBorders>
            <w:vAlign w:val="center"/>
          </w:tcPr>
          <w:p w14:paraId="19831CF2">
            <w:pPr>
              <w:pStyle w:val="19"/>
              <w:snapToGrid w:val="0"/>
              <w:spacing w:line="360" w:lineRule="auto"/>
              <w:jc w:val="center"/>
              <w:rPr>
                <w:rFonts w:hAnsi="宋体"/>
                <w:szCs w:val="24"/>
                <w:highlight w:val="none"/>
              </w:rPr>
            </w:pPr>
          </w:p>
        </w:tc>
        <w:tc>
          <w:tcPr>
            <w:tcW w:w="1185" w:type="dxa"/>
            <w:tcBorders>
              <w:top w:val="single" w:color="auto" w:sz="4" w:space="0"/>
              <w:left w:val="single" w:color="auto" w:sz="4" w:space="0"/>
              <w:bottom w:val="single" w:color="auto" w:sz="12" w:space="0"/>
              <w:right w:val="single" w:color="auto" w:sz="4" w:space="0"/>
              <w:tl2br w:val="nil"/>
              <w:tr2bl w:val="nil"/>
            </w:tcBorders>
            <w:vAlign w:val="center"/>
          </w:tcPr>
          <w:p w14:paraId="55FA3C6A">
            <w:pPr>
              <w:pStyle w:val="19"/>
              <w:snapToGrid w:val="0"/>
              <w:spacing w:line="360" w:lineRule="auto"/>
              <w:jc w:val="center"/>
              <w:rPr>
                <w:rFonts w:hAnsi="宋体"/>
                <w:szCs w:val="24"/>
                <w:highlight w:val="none"/>
              </w:rPr>
            </w:pPr>
          </w:p>
        </w:tc>
        <w:tc>
          <w:tcPr>
            <w:tcW w:w="1301" w:type="dxa"/>
            <w:tcBorders>
              <w:top w:val="single" w:color="auto" w:sz="4" w:space="0"/>
              <w:left w:val="single" w:color="auto" w:sz="4" w:space="0"/>
              <w:bottom w:val="single" w:color="auto" w:sz="12" w:space="0"/>
              <w:right w:val="single" w:color="auto" w:sz="4" w:space="0"/>
              <w:tl2br w:val="nil"/>
              <w:tr2bl w:val="nil"/>
            </w:tcBorders>
            <w:vAlign w:val="center"/>
          </w:tcPr>
          <w:p w14:paraId="7BEC99CD">
            <w:pPr>
              <w:pStyle w:val="19"/>
              <w:snapToGrid w:val="0"/>
              <w:spacing w:line="360" w:lineRule="auto"/>
              <w:jc w:val="center"/>
              <w:rPr>
                <w:rFonts w:hAnsi="宋体"/>
                <w:szCs w:val="24"/>
                <w:highlight w:val="none"/>
              </w:rPr>
            </w:pPr>
          </w:p>
        </w:tc>
        <w:tc>
          <w:tcPr>
            <w:tcW w:w="1230" w:type="dxa"/>
            <w:tcBorders>
              <w:top w:val="single" w:color="auto" w:sz="4" w:space="0"/>
              <w:left w:val="single" w:color="auto" w:sz="4" w:space="0"/>
              <w:bottom w:val="single" w:color="auto" w:sz="12" w:space="0"/>
              <w:right w:val="single" w:color="auto" w:sz="4" w:space="0"/>
              <w:tl2br w:val="nil"/>
              <w:tr2bl w:val="nil"/>
            </w:tcBorders>
            <w:vAlign w:val="center"/>
          </w:tcPr>
          <w:p w14:paraId="3ED551DF">
            <w:pPr>
              <w:pStyle w:val="19"/>
              <w:snapToGrid w:val="0"/>
              <w:spacing w:line="360" w:lineRule="auto"/>
              <w:jc w:val="center"/>
              <w:rPr>
                <w:rFonts w:hAnsi="宋体"/>
                <w:szCs w:val="24"/>
                <w:highlight w:val="none"/>
              </w:rPr>
            </w:pPr>
          </w:p>
        </w:tc>
        <w:tc>
          <w:tcPr>
            <w:tcW w:w="900" w:type="dxa"/>
            <w:tcBorders>
              <w:top w:val="single" w:color="auto" w:sz="4" w:space="0"/>
              <w:left w:val="single" w:color="auto" w:sz="4" w:space="0"/>
              <w:bottom w:val="single" w:color="auto" w:sz="12" w:space="0"/>
              <w:right w:val="single" w:color="auto" w:sz="4" w:space="0"/>
              <w:tl2br w:val="nil"/>
              <w:tr2bl w:val="nil"/>
            </w:tcBorders>
            <w:vAlign w:val="center"/>
          </w:tcPr>
          <w:p w14:paraId="18B2B05B">
            <w:pPr>
              <w:pStyle w:val="19"/>
              <w:snapToGrid w:val="0"/>
              <w:spacing w:line="360" w:lineRule="auto"/>
              <w:jc w:val="center"/>
              <w:rPr>
                <w:rFonts w:hAnsi="宋体"/>
                <w:szCs w:val="24"/>
                <w:highlight w:val="none"/>
              </w:rPr>
            </w:pPr>
          </w:p>
        </w:tc>
        <w:tc>
          <w:tcPr>
            <w:tcW w:w="1080" w:type="dxa"/>
            <w:tcBorders>
              <w:top w:val="single" w:color="auto" w:sz="4" w:space="0"/>
              <w:left w:val="single" w:color="auto" w:sz="4" w:space="0"/>
              <w:bottom w:val="single" w:color="auto" w:sz="12" w:space="0"/>
              <w:right w:val="single" w:color="auto" w:sz="12" w:space="0"/>
              <w:tl2br w:val="nil"/>
              <w:tr2bl w:val="nil"/>
            </w:tcBorders>
            <w:vAlign w:val="center"/>
          </w:tcPr>
          <w:p w14:paraId="1A244C75">
            <w:pPr>
              <w:pStyle w:val="19"/>
              <w:snapToGrid w:val="0"/>
              <w:spacing w:line="360" w:lineRule="auto"/>
              <w:jc w:val="center"/>
              <w:rPr>
                <w:rFonts w:hAnsi="宋体"/>
                <w:szCs w:val="24"/>
                <w:highlight w:val="none"/>
              </w:rPr>
            </w:pPr>
          </w:p>
        </w:tc>
      </w:tr>
    </w:tbl>
    <w:p w14:paraId="7954C0CD">
      <w:pPr>
        <w:spacing w:line="360" w:lineRule="auto"/>
        <w:rPr>
          <w:rFonts w:hint="eastAsia"/>
          <w:b/>
          <w:bCs/>
          <w:highlight w:val="none"/>
        </w:rPr>
      </w:pPr>
      <w:r>
        <w:rPr>
          <w:rFonts w:hint="eastAsia"/>
          <w:b/>
          <w:bCs/>
          <w:highlight w:val="none"/>
        </w:rPr>
        <w:t>注：</w:t>
      </w:r>
      <w:r>
        <w:rPr>
          <w:rFonts w:hint="eastAsia"/>
          <w:highlight w:val="none"/>
        </w:rPr>
        <w:t>以上业绩要附加业绩证明材料</w:t>
      </w:r>
    </w:p>
    <w:p w14:paraId="4375644B">
      <w:pPr>
        <w:autoSpaceDE w:val="0"/>
        <w:autoSpaceDN w:val="0"/>
        <w:adjustRightInd w:val="0"/>
        <w:spacing w:line="360" w:lineRule="auto"/>
        <w:rPr>
          <w:rFonts w:hint="eastAsia"/>
          <w:bCs/>
          <w:highlight w:val="none"/>
          <w:lang w:val="zh-CN"/>
        </w:rPr>
      </w:pPr>
    </w:p>
    <w:p w14:paraId="099579C6">
      <w:pPr>
        <w:pStyle w:val="11"/>
        <w:spacing w:line="360" w:lineRule="auto"/>
        <w:rPr>
          <w:rFonts w:hint="eastAsia"/>
          <w:szCs w:val="24"/>
          <w:highlight w:val="none"/>
        </w:rPr>
      </w:pPr>
    </w:p>
    <w:p w14:paraId="466D6351">
      <w:pPr>
        <w:autoSpaceDE w:val="0"/>
        <w:autoSpaceDN w:val="0"/>
        <w:adjustRightInd w:val="0"/>
        <w:spacing w:line="360" w:lineRule="auto"/>
        <w:rPr>
          <w:rFonts w:hint="eastAsia"/>
          <w:szCs w:val="21"/>
          <w:highlight w:val="none"/>
          <w:lang w:val="zh-CN"/>
        </w:rPr>
      </w:pPr>
      <w:r>
        <w:rPr>
          <w:highlight w:val="none"/>
          <w:lang w:val="zh-CN"/>
        </w:rPr>
        <w:br w:type="page"/>
      </w:r>
    </w:p>
    <w:p w14:paraId="6D87F1B7">
      <w:pPr>
        <w:pStyle w:val="3"/>
        <w:spacing w:line="360" w:lineRule="auto"/>
        <w:rPr>
          <w:rFonts w:hint="eastAsia" w:ascii="宋体" w:hAnsi="宋体"/>
          <w:highlight w:val="none"/>
        </w:rPr>
      </w:pPr>
      <w:bookmarkStart w:id="125" w:name="_Toc72335533"/>
      <w:r>
        <w:rPr>
          <w:rFonts w:hint="eastAsia" w:ascii="宋体" w:hAnsi="宋体"/>
          <w:highlight w:val="none"/>
        </w:rPr>
        <w:t>四、投标人基本情况表</w:t>
      </w:r>
      <w:bookmarkEnd w:id="125"/>
    </w:p>
    <w:p w14:paraId="1350EAC6">
      <w:pPr>
        <w:spacing w:line="360" w:lineRule="auto"/>
        <w:rPr>
          <w:rFonts w:hint="eastAsia"/>
          <w:highlight w:val="none"/>
        </w:rPr>
      </w:pPr>
    </w:p>
    <w:tbl>
      <w:tblPr>
        <w:tblStyle w:val="37"/>
        <w:tblW w:w="9071" w:type="dxa"/>
        <w:tblInd w:w="-10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54"/>
        <w:gridCol w:w="1016"/>
        <w:gridCol w:w="494"/>
        <w:gridCol w:w="815"/>
        <w:gridCol w:w="7"/>
        <w:gridCol w:w="770"/>
        <w:gridCol w:w="51"/>
        <w:gridCol w:w="474"/>
        <w:gridCol w:w="344"/>
        <w:gridCol w:w="589"/>
        <w:gridCol w:w="540"/>
        <w:gridCol w:w="1208"/>
        <w:gridCol w:w="233"/>
        <w:gridCol w:w="1076"/>
      </w:tblGrid>
      <w:tr w14:paraId="13239D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1454" w:type="dxa"/>
            <w:tcBorders>
              <w:left w:val="single" w:color="auto" w:sz="4" w:space="0"/>
              <w:tl2br w:val="nil"/>
              <w:tr2bl w:val="nil"/>
            </w:tcBorders>
            <w:vAlign w:val="center"/>
          </w:tcPr>
          <w:p w14:paraId="224B79FC">
            <w:pPr>
              <w:spacing w:line="360" w:lineRule="auto"/>
              <w:jc w:val="center"/>
              <w:rPr>
                <w:rFonts w:hint="eastAsia"/>
                <w:highlight w:val="none"/>
              </w:rPr>
            </w:pPr>
            <w:r>
              <w:rPr>
                <w:rFonts w:hint="eastAsia"/>
                <w:highlight w:val="none"/>
              </w:rPr>
              <w:t>单位名称</w:t>
            </w:r>
          </w:p>
        </w:tc>
        <w:tc>
          <w:tcPr>
            <w:tcW w:w="2332" w:type="dxa"/>
            <w:gridSpan w:val="4"/>
            <w:tcBorders>
              <w:tl2br w:val="nil"/>
              <w:tr2bl w:val="nil"/>
            </w:tcBorders>
            <w:vAlign w:val="center"/>
          </w:tcPr>
          <w:p w14:paraId="44937A09">
            <w:pPr>
              <w:spacing w:line="360" w:lineRule="auto"/>
              <w:jc w:val="center"/>
              <w:rPr>
                <w:rFonts w:hint="eastAsia"/>
                <w:highlight w:val="none"/>
              </w:rPr>
            </w:pPr>
          </w:p>
        </w:tc>
        <w:tc>
          <w:tcPr>
            <w:tcW w:w="1295" w:type="dxa"/>
            <w:gridSpan w:val="3"/>
            <w:tcBorders>
              <w:tl2br w:val="nil"/>
              <w:tr2bl w:val="nil"/>
            </w:tcBorders>
            <w:vAlign w:val="center"/>
          </w:tcPr>
          <w:p w14:paraId="68BD7BAA">
            <w:pPr>
              <w:spacing w:line="360" w:lineRule="auto"/>
              <w:jc w:val="center"/>
              <w:rPr>
                <w:rFonts w:hint="eastAsia"/>
                <w:highlight w:val="none"/>
              </w:rPr>
            </w:pPr>
            <w:r>
              <w:rPr>
                <w:rFonts w:hint="eastAsia"/>
                <w:highlight w:val="none"/>
              </w:rPr>
              <w:t>单位地址</w:t>
            </w:r>
          </w:p>
        </w:tc>
        <w:tc>
          <w:tcPr>
            <w:tcW w:w="3990" w:type="dxa"/>
            <w:gridSpan w:val="6"/>
            <w:tcBorders>
              <w:right w:val="single" w:color="auto" w:sz="4" w:space="0"/>
              <w:tl2br w:val="nil"/>
              <w:tr2bl w:val="nil"/>
            </w:tcBorders>
            <w:vAlign w:val="center"/>
          </w:tcPr>
          <w:p w14:paraId="483E2523">
            <w:pPr>
              <w:spacing w:line="360" w:lineRule="auto"/>
              <w:jc w:val="center"/>
              <w:rPr>
                <w:rFonts w:hint="eastAsia"/>
                <w:highlight w:val="none"/>
              </w:rPr>
            </w:pPr>
          </w:p>
        </w:tc>
      </w:tr>
      <w:tr w14:paraId="6AFCB9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1454" w:type="dxa"/>
            <w:tcBorders>
              <w:left w:val="single" w:color="auto" w:sz="4" w:space="0"/>
              <w:tl2br w:val="nil"/>
              <w:tr2bl w:val="nil"/>
            </w:tcBorders>
            <w:vAlign w:val="center"/>
          </w:tcPr>
          <w:p w14:paraId="58633B99">
            <w:pPr>
              <w:spacing w:line="360" w:lineRule="auto"/>
              <w:jc w:val="center"/>
              <w:rPr>
                <w:rFonts w:hint="eastAsia"/>
                <w:highlight w:val="none"/>
              </w:rPr>
            </w:pPr>
            <w:r>
              <w:rPr>
                <w:rFonts w:hint="eastAsia"/>
                <w:highlight w:val="none"/>
              </w:rPr>
              <w:t>成立时间</w:t>
            </w:r>
          </w:p>
        </w:tc>
        <w:tc>
          <w:tcPr>
            <w:tcW w:w="2332" w:type="dxa"/>
            <w:gridSpan w:val="4"/>
            <w:tcBorders>
              <w:tl2br w:val="nil"/>
              <w:tr2bl w:val="nil"/>
            </w:tcBorders>
            <w:vAlign w:val="center"/>
          </w:tcPr>
          <w:p w14:paraId="71F23E10">
            <w:pPr>
              <w:spacing w:line="360" w:lineRule="auto"/>
              <w:jc w:val="center"/>
              <w:rPr>
                <w:rFonts w:hint="eastAsia"/>
                <w:highlight w:val="none"/>
              </w:rPr>
            </w:pPr>
          </w:p>
        </w:tc>
        <w:tc>
          <w:tcPr>
            <w:tcW w:w="1295" w:type="dxa"/>
            <w:gridSpan w:val="3"/>
            <w:tcBorders>
              <w:tl2br w:val="nil"/>
              <w:tr2bl w:val="nil"/>
            </w:tcBorders>
            <w:vAlign w:val="center"/>
          </w:tcPr>
          <w:p w14:paraId="7543D1B6">
            <w:pPr>
              <w:spacing w:line="360" w:lineRule="auto"/>
              <w:jc w:val="center"/>
              <w:rPr>
                <w:rFonts w:hint="eastAsia"/>
                <w:highlight w:val="none"/>
              </w:rPr>
            </w:pPr>
            <w:r>
              <w:rPr>
                <w:rFonts w:hint="eastAsia"/>
                <w:highlight w:val="none"/>
              </w:rPr>
              <w:t>注册资金 （万元）</w:t>
            </w:r>
          </w:p>
        </w:tc>
        <w:tc>
          <w:tcPr>
            <w:tcW w:w="933" w:type="dxa"/>
            <w:gridSpan w:val="2"/>
            <w:tcBorders>
              <w:tl2br w:val="nil"/>
              <w:tr2bl w:val="nil"/>
            </w:tcBorders>
            <w:vAlign w:val="center"/>
          </w:tcPr>
          <w:p w14:paraId="45D13485">
            <w:pPr>
              <w:spacing w:line="360" w:lineRule="auto"/>
              <w:jc w:val="center"/>
              <w:rPr>
                <w:rFonts w:hint="eastAsia"/>
                <w:highlight w:val="none"/>
              </w:rPr>
            </w:pPr>
          </w:p>
        </w:tc>
        <w:tc>
          <w:tcPr>
            <w:tcW w:w="1981" w:type="dxa"/>
            <w:gridSpan w:val="3"/>
            <w:tcBorders>
              <w:tl2br w:val="nil"/>
              <w:tr2bl w:val="nil"/>
            </w:tcBorders>
            <w:vAlign w:val="center"/>
          </w:tcPr>
          <w:p w14:paraId="05D8A078">
            <w:pPr>
              <w:spacing w:line="360" w:lineRule="auto"/>
              <w:jc w:val="center"/>
              <w:rPr>
                <w:rFonts w:hint="eastAsia"/>
                <w:highlight w:val="none"/>
              </w:rPr>
            </w:pPr>
            <w:r>
              <w:rPr>
                <w:rFonts w:hint="eastAsia"/>
                <w:highlight w:val="none"/>
              </w:rPr>
              <w:t>固定资产（万元）</w:t>
            </w:r>
          </w:p>
        </w:tc>
        <w:tc>
          <w:tcPr>
            <w:tcW w:w="1076" w:type="dxa"/>
            <w:tcBorders>
              <w:right w:val="single" w:color="auto" w:sz="4" w:space="0"/>
              <w:tl2br w:val="nil"/>
              <w:tr2bl w:val="nil"/>
            </w:tcBorders>
            <w:vAlign w:val="center"/>
          </w:tcPr>
          <w:p w14:paraId="6290E060">
            <w:pPr>
              <w:spacing w:line="360" w:lineRule="auto"/>
              <w:jc w:val="center"/>
              <w:rPr>
                <w:rFonts w:hint="eastAsia"/>
                <w:highlight w:val="none"/>
              </w:rPr>
            </w:pPr>
          </w:p>
        </w:tc>
      </w:tr>
      <w:tr w14:paraId="5E8FA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454" w:type="dxa"/>
            <w:tcBorders>
              <w:left w:val="single" w:color="auto" w:sz="4" w:space="0"/>
              <w:tl2br w:val="nil"/>
              <w:tr2bl w:val="nil"/>
            </w:tcBorders>
            <w:vAlign w:val="center"/>
          </w:tcPr>
          <w:p w14:paraId="7C5EF8BF">
            <w:pPr>
              <w:spacing w:line="360" w:lineRule="auto"/>
              <w:jc w:val="center"/>
              <w:rPr>
                <w:rFonts w:hint="eastAsia"/>
                <w:highlight w:val="none"/>
              </w:rPr>
            </w:pPr>
            <w:r>
              <w:rPr>
                <w:rFonts w:hint="eastAsia"/>
                <w:highlight w:val="none"/>
              </w:rPr>
              <w:t>行政负责人</w:t>
            </w:r>
          </w:p>
        </w:tc>
        <w:tc>
          <w:tcPr>
            <w:tcW w:w="2332" w:type="dxa"/>
            <w:gridSpan w:val="4"/>
            <w:tcBorders>
              <w:tl2br w:val="nil"/>
              <w:tr2bl w:val="nil"/>
            </w:tcBorders>
            <w:vAlign w:val="center"/>
          </w:tcPr>
          <w:p w14:paraId="6279B5CA">
            <w:pPr>
              <w:spacing w:line="360" w:lineRule="auto"/>
              <w:jc w:val="center"/>
              <w:rPr>
                <w:rFonts w:hint="eastAsia"/>
                <w:highlight w:val="none"/>
              </w:rPr>
            </w:pPr>
          </w:p>
        </w:tc>
        <w:tc>
          <w:tcPr>
            <w:tcW w:w="1295" w:type="dxa"/>
            <w:gridSpan w:val="3"/>
            <w:tcBorders>
              <w:tl2br w:val="nil"/>
              <w:tr2bl w:val="nil"/>
            </w:tcBorders>
            <w:vAlign w:val="center"/>
          </w:tcPr>
          <w:p w14:paraId="723FF0B4">
            <w:pPr>
              <w:spacing w:line="360" w:lineRule="auto"/>
              <w:rPr>
                <w:rFonts w:hint="eastAsia"/>
                <w:highlight w:val="none"/>
              </w:rPr>
            </w:pPr>
            <w:r>
              <w:rPr>
                <w:rFonts w:hint="eastAsia"/>
                <w:highlight w:val="none"/>
              </w:rPr>
              <w:t>技术负责人</w:t>
            </w:r>
          </w:p>
        </w:tc>
        <w:tc>
          <w:tcPr>
            <w:tcW w:w="3990" w:type="dxa"/>
            <w:gridSpan w:val="6"/>
            <w:tcBorders>
              <w:right w:val="single" w:color="auto" w:sz="4" w:space="0"/>
              <w:tl2br w:val="nil"/>
              <w:tr2bl w:val="nil"/>
            </w:tcBorders>
            <w:vAlign w:val="center"/>
          </w:tcPr>
          <w:p w14:paraId="1A021FEE">
            <w:pPr>
              <w:spacing w:line="360" w:lineRule="auto"/>
              <w:rPr>
                <w:rFonts w:hint="eastAsia"/>
                <w:highlight w:val="none"/>
              </w:rPr>
            </w:pPr>
          </w:p>
        </w:tc>
      </w:tr>
      <w:tr w14:paraId="6E36DC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1454" w:type="dxa"/>
            <w:vMerge w:val="restart"/>
            <w:tcBorders>
              <w:left w:val="single" w:color="auto" w:sz="4" w:space="0"/>
              <w:tl2br w:val="nil"/>
              <w:tr2bl w:val="nil"/>
            </w:tcBorders>
            <w:vAlign w:val="center"/>
          </w:tcPr>
          <w:p w14:paraId="492ED110">
            <w:pPr>
              <w:spacing w:line="360" w:lineRule="auto"/>
              <w:jc w:val="center"/>
              <w:rPr>
                <w:rFonts w:hint="eastAsia"/>
                <w:highlight w:val="none"/>
              </w:rPr>
            </w:pPr>
            <w:r>
              <w:rPr>
                <w:rFonts w:hint="eastAsia"/>
                <w:highlight w:val="none"/>
              </w:rPr>
              <w:t>从事相关专业服务的资质情况</w:t>
            </w:r>
          </w:p>
        </w:tc>
        <w:tc>
          <w:tcPr>
            <w:tcW w:w="1510" w:type="dxa"/>
            <w:gridSpan w:val="2"/>
            <w:tcBorders>
              <w:tl2br w:val="nil"/>
              <w:tr2bl w:val="nil"/>
            </w:tcBorders>
            <w:vAlign w:val="center"/>
          </w:tcPr>
          <w:p w14:paraId="24173532">
            <w:pPr>
              <w:spacing w:line="360" w:lineRule="auto"/>
              <w:jc w:val="center"/>
              <w:rPr>
                <w:rFonts w:hint="eastAsia"/>
                <w:highlight w:val="none"/>
              </w:rPr>
            </w:pPr>
            <w:r>
              <w:rPr>
                <w:rFonts w:hint="eastAsia"/>
                <w:highlight w:val="none"/>
              </w:rPr>
              <w:t>资质名称</w:t>
            </w:r>
          </w:p>
        </w:tc>
        <w:tc>
          <w:tcPr>
            <w:tcW w:w="1592" w:type="dxa"/>
            <w:gridSpan w:val="3"/>
            <w:tcBorders>
              <w:tl2br w:val="nil"/>
              <w:tr2bl w:val="nil"/>
            </w:tcBorders>
            <w:vAlign w:val="center"/>
          </w:tcPr>
          <w:p w14:paraId="29608599">
            <w:pPr>
              <w:spacing w:line="360" w:lineRule="auto"/>
              <w:jc w:val="center"/>
              <w:rPr>
                <w:rFonts w:hint="eastAsia"/>
                <w:highlight w:val="none"/>
              </w:rPr>
            </w:pPr>
            <w:r>
              <w:rPr>
                <w:rFonts w:hint="eastAsia"/>
                <w:highlight w:val="none"/>
              </w:rPr>
              <w:t>颁发部门</w:t>
            </w:r>
          </w:p>
        </w:tc>
        <w:tc>
          <w:tcPr>
            <w:tcW w:w="1998" w:type="dxa"/>
            <w:gridSpan w:val="5"/>
            <w:tcBorders>
              <w:tl2br w:val="nil"/>
              <w:tr2bl w:val="nil"/>
            </w:tcBorders>
            <w:vAlign w:val="center"/>
          </w:tcPr>
          <w:p w14:paraId="76F20E87">
            <w:pPr>
              <w:spacing w:line="360" w:lineRule="auto"/>
              <w:jc w:val="center"/>
              <w:rPr>
                <w:rFonts w:hint="eastAsia"/>
                <w:highlight w:val="none"/>
              </w:rPr>
            </w:pPr>
            <w:r>
              <w:rPr>
                <w:rFonts w:hint="eastAsia"/>
                <w:highlight w:val="none"/>
              </w:rPr>
              <w:t>资质等级</w:t>
            </w:r>
          </w:p>
        </w:tc>
        <w:tc>
          <w:tcPr>
            <w:tcW w:w="2517" w:type="dxa"/>
            <w:gridSpan w:val="3"/>
            <w:tcBorders>
              <w:right w:val="single" w:color="auto" w:sz="4" w:space="0"/>
              <w:tl2br w:val="nil"/>
              <w:tr2bl w:val="nil"/>
            </w:tcBorders>
            <w:vAlign w:val="center"/>
          </w:tcPr>
          <w:p w14:paraId="3F2449FA">
            <w:pPr>
              <w:spacing w:line="360" w:lineRule="auto"/>
              <w:jc w:val="center"/>
              <w:rPr>
                <w:rFonts w:hint="eastAsia"/>
                <w:highlight w:val="none"/>
              </w:rPr>
            </w:pPr>
            <w:r>
              <w:rPr>
                <w:rFonts w:hint="eastAsia"/>
                <w:highlight w:val="none"/>
              </w:rPr>
              <w:t>颁发时间</w:t>
            </w:r>
          </w:p>
        </w:tc>
      </w:tr>
      <w:tr w14:paraId="6287A5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03" w:hRule="atLeast"/>
        </w:trPr>
        <w:tc>
          <w:tcPr>
            <w:tcW w:w="1454" w:type="dxa"/>
            <w:vMerge w:val="continue"/>
            <w:tcBorders>
              <w:left w:val="single" w:color="auto" w:sz="4" w:space="0"/>
              <w:tl2br w:val="nil"/>
              <w:tr2bl w:val="nil"/>
            </w:tcBorders>
            <w:vAlign w:val="center"/>
          </w:tcPr>
          <w:p w14:paraId="49AC7AAF">
            <w:pPr>
              <w:spacing w:line="360" w:lineRule="auto"/>
              <w:rPr>
                <w:rFonts w:hint="eastAsia"/>
                <w:highlight w:val="none"/>
              </w:rPr>
            </w:pPr>
          </w:p>
        </w:tc>
        <w:tc>
          <w:tcPr>
            <w:tcW w:w="1510" w:type="dxa"/>
            <w:gridSpan w:val="2"/>
            <w:tcBorders>
              <w:tl2br w:val="nil"/>
              <w:tr2bl w:val="nil"/>
            </w:tcBorders>
            <w:vAlign w:val="center"/>
          </w:tcPr>
          <w:p w14:paraId="78EB7A17">
            <w:pPr>
              <w:spacing w:line="360" w:lineRule="auto"/>
              <w:jc w:val="center"/>
              <w:rPr>
                <w:rFonts w:hint="eastAsia"/>
                <w:highlight w:val="none"/>
              </w:rPr>
            </w:pPr>
          </w:p>
        </w:tc>
        <w:tc>
          <w:tcPr>
            <w:tcW w:w="1592" w:type="dxa"/>
            <w:gridSpan w:val="3"/>
            <w:tcBorders>
              <w:tl2br w:val="nil"/>
              <w:tr2bl w:val="nil"/>
            </w:tcBorders>
            <w:vAlign w:val="center"/>
          </w:tcPr>
          <w:p w14:paraId="7CB7C17B">
            <w:pPr>
              <w:spacing w:line="360" w:lineRule="auto"/>
              <w:jc w:val="center"/>
              <w:rPr>
                <w:rFonts w:hint="eastAsia"/>
                <w:highlight w:val="none"/>
              </w:rPr>
            </w:pPr>
          </w:p>
        </w:tc>
        <w:tc>
          <w:tcPr>
            <w:tcW w:w="1998" w:type="dxa"/>
            <w:gridSpan w:val="5"/>
            <w:tcBorders>
              <w:tl2br w:val="nil"/>
              <w:tr2bl w:val="nil"/>
            </w:tcBorders>
            <w:vAlign w:val="center"/>
          </w:tcPr>
          <w:p w14:paraId="30869913">
            <w:pPr>
              <w:spacing w:line="360" w:lineRule="auto"/>
              <w:rPr>
                <w:rFonts w:hint="eastAsia"/>
                <w:highlight w:val="none"/>
              </w:rPr>
            </w:pPr>
          </w:p>
        </w:tc>
        <w:tc>
          <w:tcPr>
            <w:tcW w:w="2517" w:type="dxa"/>
            <w:gridSpan w:val="3"/>
            <w:tcBorders>
              <w:right w:val="single" w:color="auto" w:sz="4" w:space="0"/>
              <w:tl2br w:val="nil"/>
              <w:tr2bl w:val="nil"/>
            </w:tcBorders>
            <w:vAlign w:val="center"/>
          </w:tcPr>
          <w:p w14:paraId="36AB3E73">
            <w:pPr>
              <w:spacing w:line="360" w:lineRule="auto"/>
              <w:rPr>
                <w:rFonts w:hint="eastAsia"/>
                <w:highlight w:val="none"/>
              </w:rPr>
            </w:pPr>
          </w:p>
        </w:tc>
      </w:tr>
      <w:tr w14:paraId="2288EF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16" w:hRule="atLeast"/>
        </w:trPr>
        <w:tc>
          <w:tcPr>
            <w:tcW w:w="1454" w:type="dxa"/>
            <w:vMerge w:val="continue"/>
            <w:tcBorders>
              <w:left w:val="single" w:color="auto" w:sz="4" w:space="0"/>
              <w:tl2br w:val="nil"/>
              <w:tr2bl w:val="nil"/>
            </w:tcBorders>
          </w:tcPr>
          <w:p w14:paraId="08EDDC9D">
            <w:pPr>
              <w:spacing w:line="360" w:lineRule="auto"/>
              <w:rPr>
                <w:rFonts w:hint="eastAsia"/>
                <w:highlight w:val="none"/>
              </w:rPr>
            </w:pPr>
          </w:p>
        </w:tc>
        <w:tc>
          <w:tcPr>
            <w:tcW w:w="1510" w:type="dxa"/>
            <w:gridSpan w:val="2"/>
            <w:tcBorders>
              <w:tl2br w:val="nil"/>
              <w:tr2bl w:val="nil"/>
            </w:tcBorders>
          </w:tcPr>
          <w:p w14:paraId="2835392B">
            <w:pPr>
              <w:spacing w:line="360" w:lineRule="auto"/>
              <w:jc w:val="center"/>
              <w:rPr>
                <w:rFonts w:hint="eastAsia"/>
                <w:highlight w:val="none"/>
              </w:rPr>
            </w:pPr>
          </w:p>
        </w:tc>
        <w:tc>
          <w:tcPr>
            <w:tcW w:w="1592" w:type="dxa"/>
            <w:gridSpan w:val="3"/>
            <w:tcBorders>
              <w:tl2br w:val="nil"/>
              <w:tr2bl w:val="nil"/>
            </w:tcBorders>
          </w:tcPr>
          <w:p w14:paraId="1CDF0110">
            <w:pPr>
              <w:spacing w:line="360" w:lineRule="auto"/>
              <w:jc w:val="center"/>
              <w:rPr>
                <w:rFonts w:hint="eastAsia"/>
                <w:highlight w:val="none"/>
              </w:rPr>
            </w:pPr>
          </w:p>
        </w:tc>
        <w:tc>
          <w:tcPr>
            <w:tcW w:w="1998" w:type="dxa"/>
            <w:gridSpan w:val="5"/>
            <w:tcBorders>
              <w:tl2br w:val="nil"/>
              <w:tr2bl w:val="nil"/>
            </w:tcBorders>
          </w:tcPr>
          <w:p w14:paraId="32387F81">
            <w:pPr>
              <w:spacing w:line="360" w:lineRule="auto"/>
              <w:rPr>
                <w:rFonts w:hint="eastAsia"/>
                <w:highlight w:val="none"/>
              </w:rPr>
            </w:pPr>
          </w:p>
        </w:tc>
        <w:tc>
          <w:tcPr>
            <w:tcW w:w="2517" w:type="dxa"/>
            <w:gridSpan w:val="3"/>
            <w:tcBorders>
              <w:right w:val="single" w:color="auto" w:sz="4" w:space="0"/>
              <w:tl2br w:val="nil"/>
              <w:tr2bl w:val="nil"/>
            </w:tcBorders>
          </w:tcPr>
          <w:p w14:paraId="3C8056A6">
            <w:pPr>
              <w:spacing w:line="360" w:lineRule="auto"/>
              <w:rPr>
                <w:rFonts w:hint="eastAsia"/>
                <w:highlight w:val="none"/>
              </w:rPr>
            </w:pPr>
          </w:p>
        </w:tc>
      </w:tr>
      <w:tr w14:paraId="4BEDF5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09" w:hRule="atLeast"/>
        </w:trPr>
        <w:tc>
          <w:tcPr>
            <w:tcW w:w="1454" w:type="dxa"/>
            <w:vMerge w:val="restart"/>
            <w:tcBorders>
              <w:left w:val="single" w:color="auto" w:sz="4" w:space="0"/>
              <w:tl2br w:val="nil"/>
              <w:tr2bl w:val="nil"/>
            </w:tcBorders>
            <w:vAlign w:val="center"/>
          </w:tcPr>
          <w:p w14:paraId="7A59E3FC">
            <w:pPr>
              <w:spacing w:line="360" w:lineRule="auto"/>
              <w:jc w:val="center"/>
              <w:rPr>
                <w:rFonts w:hint="eastAsia"/>
                <w:highlight w:val="none"/>
              </w:rPr>
            </w:pPr>
            <w:r>
              <w:rPr>
                <w:rFonts w:hint="eastAsia"/>
                <w:highlight w:val="none"/>
              </w:rPr>
              <w:t>从事专业的人数（人）</w:t>
            </w:r>
          </w:p>
        </w:tc>
        <w:tc>
          <w:tcPr>
            <w:tcW w:w="7617" w:type="dxa"/>
            <w:gridSpan w:val="13"/>
            <w:tcBorders>
              <w:right w:val="single" w:color="auto" w:sz="4" w:space="0"/>
              <w:tl2br w:val="nil"/>
              <w:tr2bl w:val="nil"/>
            </w:tcBorders>
            <w:vAlign w:val="center"/>
          </w:tcPr>
          <w:p w14:paraId="658C217F">
            <w:pPr>
              <w:spacing w:line="360" w:lineRule="auto"/>
              <w:jc w:val="center"/>
              <w:rPr>
                <w:rFonts w:hint="eastAsia"/>
                <w:highlight w:val="none"/>
              </w:rPr>
            </w:pPr>
            <w:r>
              <w:rPr>
                <w:rFonts w:hint="eastAsia"/>
                <w:highlight w:val="none"/>
              </w:rPr>
              <w:t>其中</w:t>
            </w:r>
          </w:p>
        </w:tc>
      </w:tr>
      <w:tr w14:paraId="48770B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18" w:hRule="atLeast"/>
        </w:trPr>
        <w:tc>
          <w:tcPr>
            <w:tcW w:w="1454" w:type="dxa"/>
            <w:vMerge w:val="continue"/>
            <w:tcBorders>
              <w:left w:val="single" w:color="auto" w:sz="4" w:space="0"/>
              <w:tl2br w:val="nil"/>
              <w:tr2bl w:val="nil"/>
            </w:tcBorders>
          </w:tcPr>
          <w:p w14:paraId="02E2C837">
            <w:pPr>
              <w:spacing w:line="360" w:lineRule="auto"/>
              <w:rPr>
                <w:rFonts w:hint="eastAsia"/>
                <w:highlight w:val="none"/>
              </w:rPr>
            </w:pPr>
          </w:p>
        </w:tc>
        <w:tc>
          <w:tcPr>
            <w:tcW w:w="3971" w:type="dxa"/>
            <w:gridSpan w:val="8"/>
            <w:tcBorders>
              <w:tl2br w:val="nil"/>
              <w:tr2bl w:val="nil"/>
            </w:tcBorders>
            <w:vAlign w:val="center"/>
          </w:tcPr>
          <w:p w14:paraId="5127A0CC">
            <w:pPr>
              <w:spacing w:line="360" w:lineRule="auto"/>
              <w:jc w:val="center"/>
              <w:rPr>
                <w:rFonts w:hint="eastAsia"/>
                <w:highlight w:val="none"/>
              </w:rPr>
            </w:pPr>
            <w:r>
              <w:rPr>
                <w:rFonts w:hint="eastAsia"/>
                <w:highlight w:val="none"/>
              </w:rPr>
              <w:t>职称等级（人）</w:t>
            </w:r>
          </w:p>
        </w:tc>
        <w:tc>
          <w:tcPr>
            <w:tcW w:w="3646" w:type="dxa"/>
            <w:gridSpan w:val="5"/>
            <w:tcBorders>
              <w:right w:val="single" w:color="auto" w:sz="4" w:space="0"/>
              <w:tl2br w:val="nil"/>
              <w:tr2bl w:val="nil"/>
            </w:tcBorders>
            <w:vAlign w:val="center"/>
          </w:tcPr>
          <w:p w14:paraId="7850A280">
            <w:pPr>
              <w:spacing w:line="360" w:lineRule="auto"/>
              <w:jc w:val="center"/>
              <w:rPr>
                <w:rFonts w:hint="eastAsia"/>
                <w:highlight w:val="none"/>
              </w:rPr>
            </w:pPr>
            <w:r>
              <w:rPr>
                <w:rFonts w:hint="eastAsia"/>
                <w:highlight w:val="none"/>
              </w:rPr>
              <w:t>执业资格（人）</w:t>
            </w:r>
          </w:p>
        </w:tc>
      </w:tr>
      <w:tr w14:paraId="52D322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1454" w:type="dxa"/>
            <w:vMerge w:val="continue"/>
            <w:tcBorders>
              <w:left w:val="single" w:color="auto" w:sz="4" w:space="0"/>
              <w:tl2br w:val="nil"/>
              <w:tr2bl w:val="nil"/>
            </w:tcBorders>
          </w:tcPr>
          <w:p w14:paraId="19EECF35">
            <w:pPr>
              <w:spacing w:line="360" w:lineRule="auto"/>
              <w:rPr>
                <w:rFonts w:hint="eastAsia"/>
                <w:highlight w:val="none"/>
              </w:rPr>
            </w:pPr>
          </w:p>
        </w:tc>
        <w:tc>
          <w:tcPr>
            <w:tcW w:w="1016" w:type="dxa"/>
            <w:tcBorders>
              <w:tl2br w:val="nil"/>
              <w:tr2bl w:val="nil"/>
            </w:tcBorders>
            <w:vAlign w:val="center"/>
          </w:tcPr>
          <w:p w14:paraId="798FD88D">
            <w:pPr>
              <w:spacing w:line="360" w:lineRule="auto"/>
              <w:jc w:val="center"/>
              <w:rPr>
                <w:rFonts w:hint="eastAsia"/>
                <w:highlight w:val="none"/>
              </w:rPr>
            </w:pPr>
            <w:r>
              <w:rPr>
                <w:rFonts w:hint="eastAsia"/>
                <w:highlight w:val="none"/>
              </w:rPr>
              <w:t>高级</w:t>
            </w:r>
          </w:p>
        </w:tc>
        <w:tc>
          <w:tcPr>
            <w:tcW w:w="1309" w:type="dxa"/>
            <w:gridSpan w:val="2"/>
            <w:tcBorders>
              <w:tl2br w:val="nil"/>
              <w:tr2bl w:val="nil"/>
            </w:tcBorders>
            <w:vAlign w:val="center"/>
          </w:tcPr>
          <w:p w14:paraId="1E73912F">
            <w:pPr>
              <w:spacing w:line="360" w:lineRule="auto"/>
              <w:jc w:val="center"/>
              <w:rPr>
                <w:rFonts w:hint="eastAsia"/>
                <w:highlight w:val="none"/>
              </w:rPr>
            </w:pPr>
            <w:r>
              <w:rPr>
                <w:rFonts w:hint="eastAsia"/>
                <w:highlight w:val="none"/>
              </w:rPr>
              <w:t>中级</w:t>
            </w:r>
          </w:p>
        </w:tc>
        <w:tc>
          <w:tcPr>
            <w:tcW w:w="828" w:type="dxa"/>
            <w:gridSpan w:val="3"/>
            <w:tcBorders>
              <w:tl2br w:val="nil"/>
              <w:tr2bl w:val="nil"/>
            </w:tcBorders>
            <w:vAlign w:val="center"/>
          </w:tcPr>
          <w:p w14:paraId="52958A92">
            <w:pPr>
              <w:spacing w:line="360" w:lineRule="auto"/>
              <w:jc w:val="center"/>
              <w:rPr>
                <w:rFonts w:hint="eastAsia"/>
                <w:highlight w:val="none"/>
              </w:rPr>
            </w:pPr>
            <w:r>
              <w:rPr>
                <w:rFonts w:hint="eastAsia"/>
                <w:highlight w:val="none"/>
              </w:rPr>
              <w:t>初级</w:t>
            </w:r>
          </w:p>
        </w:tc>
        <w:tc>
          <w:tcPr>
            <w:tcW w:w="818" w:type="dxa"/>
            <w:gridSpan w:val="2"/>
            <w:tcBorders>
              <w:tl2br w:val="nil"/>
              <w:tr2bl w:val="nil"/>
            </w:tcBorders>
            <w:vAlign w:val="center"/>
          </w:tcPr>
          <w:p w14:paraId="4DF1DC5A">
            <w:pPr>
              <w:spacing w:line="360" w:lineRule="auto"/>
              <w:jc w:val="center"/>
              <w:rPr>
                <w:rFonts w:hint="eastAsia"/>
                <w:highlight w:val="none"/>
              </w:rPr>
            </w:pPr>
            <w:r>
              <w:rPr>
                <w:rFonts w:hint="eastAsia"/>
                <w:highlight w:val="none"/>
              </w:rPr>
              <w:t>合计</w:t>
            </w:r>
          </w:p>
        </w:tc>
        <w:tc>
          <w:tcPr>
            <w:tcW w:w="2337" w:type="dxa"/>
            <w:gridSpan w:val="3"/>
            <w:tcBorders>
              <w:tl2br w:val="nil"/>
              <w:tr2bl w:val="nil"/>
            </w:tcBorders>
            <w:vAlign w:val="center"/>
          </w:tcPr>
          <w:p w14:paraId="529F5651">
            <w:pPr>
              <w:spacing w:line="360" w:lineRule="auto"/>
              <w:jc w:val="center"/>
              <w:rPr>
                <w:rFonts w:hint="eastAsia"/>
                <w:highlight w:val="none"/>
              </w:rPr>
            </w:pPr>
            <w:r>
              <w:rPr>
                <w:rFonts w:hint="eastAsia"/>
                <w:highlight w:val="none"/>
              </w:rPr>
              <w:t xml:space="preserve"> 工程师</w:t>
            </w:r>
          </w:p>
        </w:tc>
        <w:tc>
          <w:tcPr>
            <w:tcW w:w="1309" w:type="dxa"/>
            <w:gridSpan w:val="2"/>
            <w:tcBorders>
              <w:right w:val="single" w:color="auto" w:sz="4" w:space="0"/>
              <w:tl2br w:val="nil"/>
              <w:tr2bl w:val="nil"/>
            </w:tcBorders>
            <w:vAlign w:val="center"/>
          </w:tcPr>
          <w:p w14:paraId="45BF314D">
            <w:pPr>
              <w:spacing w:line="360" w:lineRule="auto"/>
              <w:jc w:val="center"/>
              <w:rPr>
                <w:rFonts w:hint="eastAsia"/>
                <w:highlight w:val="none"/>
              </w:rPr>
            </w:pPr>
            <w:r>
              <w:rPr>
                <w:rFonts w:hint="eastAsia"/>
                <w:highlight w:val="none"/>
              </w:rPr>
              <w:t>预算员</w:t>
            </w:r>
          </w:p>
        </w:tc>
      </w:tr>
      <w:tr w14:paraId="59F768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1454" w:type="dxa"/>
            <w:vMerge w:val="continue"/>
            <w:tcBorders>
              <w:left w:val="single" w:color="auto" w:sz="4" w:space="0"/>
              <w:tl2br w:val="nil"/>
              <w:tr2bl w:val="nil"/>
            </w:tcBorders>
          </w:tcPr>
          <w:p w14:paraId="08E245CF">
            <w:pPr>
              <w:spacing w:line="360" w:lineRule="auto"/>
              <w:rPr>
                <w:rFonts w:hint="eastAsia"/>
                <w:highlight w:val="none"/>
              </w:rPr>
            </w:pPr>
          </w:p>
        </w:tc>
        <w:tc>
          <w:tcPr>
            <w:tcW w:w="1016" w:type="dxa"/>
            <w:tcBorders>
              <w:tl2br w:val="nil"/>
              <w:tr2bl w:val="nil"/>
            </w:tcBorders>
          </w:tcPr>
          <w:p w14:paraId="6B9CD8F5">
            <w:pPr>
              <w:spacing w:line="360" w:lineRule="auto"/>
              <w:jc w:val="center"/>
              <w:rPr>
                <w:rFonts w:hint="eastAsia"/>
                <w:highlight w:val="none"/>
              </w:rPr>
            </w:pPr>
          </w:p>
        </w:tc>
        <w:tc>
          <w:tcPr>
            <w:tcW w:w="1309" w:type="dxa"/>
            <w:gridSpan w:val="2"/>
            <w:tcBorders>
              <w:tl2br w:val="nil"/>
              <w:tr2bl w:val="nil"/>
            </w:tcBorders>
          </w:tcPr>
          <w:p w14:paraId="7B3C2922">
            <w:pPr>
              <w:spacing w:line="360" w:lineRule="auto"/>
              <w:jc w:val="center"/>
              <w:rPr>
                <w:rFonts w:hint="eastAsia"/>
                <w:highlight w:val="none"/>
              </w:rPr>
            </w:pPr>
          </w:p>
        </w:tc>
        <w:tc>
          <w:tcPr>
            <w:tcW w:w="828" w:type="dxa"/>
            <w:gridSpan w:val="3"/>
            <w:tcBorders>
              <w:tl2br w:val="nil"/>
              <w:tr2bl w:val="nil"/>
            </w:tcBorders>
          </w:tcPr>
          <w:p w14:paraId="4E03008D">
            <w:pPr>
              <w:spacing w:line="360" w:lineRule="auto"/>
              <w:jc w:val="center"/>
              <w:rPr>
                <w:rFonts w:hint="eastAsia"/>
                <w:highlight w:val="none"/>
              </w:rPr>
            </w:pPr>
          </w:p>
        </w:tc>
        <w:tc>
          <w:tcPr>
            <w:tcW w:w="818" w:type="dxa"/>
            <w:gridSpan w:val="2"/>
            <w:tcBorders>
              <w:tl2br w:val="nil"/>
              <w:tr2bl w:val="nil"/>
            </w:tcBorders>
          </w:tcPr>
          <w:p w14:paraId="6438FD28">
            <w:pPr>
              <w:spacing w:line="360" w:lineRule="auto"/>
              <w:rPr>
                <w:rFonts w:hint="eastAsia"/>
                <w:highlight w:val="none"/>
              </w:rPr>
            </w:pPr>
          </w:p>
        </w:tc>
        <w:tc>
          <w:tcPr>
            <w:tcW w:w="2337" w:type="dxa"/>
            <w:gridSpan w:val="3"/>
            <w:tcBorders>
              <w:tl2br w:val="nil"/>
              <w:tr2bl w:val="nil"/>
            </w:tcBorders>
          </w:tcPr>
          <w:p w14:paraId="7954E2DC">
            <w:pPr>
              <w:spacing w:line="360" w:lineRule="auto"/>
              <w:rPr>
                <w:rFonts w:hint="eastAsia"/>
                <w:highlight w:val="none"/>
              </w:rPr>
            </w:pPr>
          </w:p>
        </w:tc>
        <w:tc>
          <w:tcPr>
            <w:tcW w:w="1309" w:type="dxa"/>
            <w:gridSpan w:val="2"/>
            <w:tcBorders>
              <w:right w:val="single" w:color="auto" w:sz="4" w:space="0"/>
              <w:tl2br w:val="nil"/>
              <w:tr2bl w:val="nil"/>
            </w:tcBorders>
          </w:tcPr>
          <w:p w14:paraId="48901160">
            <w:pPr>
              <w:spacing w:line="360" w:lineRule="auto"/>
              <w:rPr>
                <w:rFonts w:hint="eastAsia"/>
                <w:highlight w:val="none"/>
              </w:rPr>
            </w:pPr>
          </w:p>
        </w:tc>
      </w:tr>
      <w:tr w14:paraId="6A41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54" w:hRule="atLeast"/>
        </w:trPr>
        <w:tc>
          <w:tcPr>
            <w:tcW w:w="1454" w:type="dxa"/>
            <w:tcBorders>
              <w:left w:val="single" w:color="auto" w:sz="4" w:space="0"/>
              <w:tl2br w:val="nil"/>
              <w:tr2bl w:val="nil"/>
            </w:tcBorders>
            <w:vAlign w:val="center"/>
          </w:tcPr>
          <w:p w14:paraId="037724F8">
            <w:pPr>
              <w:spacing w:line="360" w:lineRule="auto"/>
              <w:jc w:val="center"/>
              <w:rPr>
                <w:rFonts w:hint="eastAsia"/>
                <w:highlight w:val="none"/>
              </w:rPr>
            </w:pPr>
            <w:r>
              <w:rPr>
                <w:rFonts w:hint="eastAsia"/>
                <w:highlight w:val="none"/>
              </w:rPr>
              <w:t>其他有竞争力的说明</w:t>
            </w:r>
          </w:p>
        </w:tc>
        <w:tc>
          <w:tcPr>
            <w:tcW w:w="7617" w:type="dxa"/>
            <w:gridSpan w:val="13"/>
            <w:tcBorders>
              <w:right w:val="single" w:color="auto" w:sz="4" w:space="0"/>
              <w:tl2br w:val="nil"/>
              <w:tr2bl w:val="nil"/>
            </w:tcBorders>
          </w:tcPr>
          <w:p w14:paraId="0CD1DE17">
            <w:pPr>
              <w:spacing w:line="360" w:lineRule="auto"/>
              <w:jc w:val="center"/>
              <w:rPr>
                <w:rFonts w:hint="eastAsia"/>
                <w:highlight w:val="none"/>
              </w:rPr>
            </w:pPr>
          </w:p>
        </w:tc>
      </w:tr>
    </w:tbl>
    <w:p w14:paraId="7C6E76EE">
      <w:pPr>
        <w:spacing w:line="360" w:lineRule="auto"/>
        <w:rPr>
          <w:rFonts w:hint="eastAsia"/>
          <w:b/>
          <w:bCs/>
          <w:highlight w:val="none"/>
        </w:rPr>
      </w:pPr>
    </w:p>
    <w:p w14:paraId="34D58EBC">
      <w:pPr>
        <w:pStyle w:val="11"/>
        <w:spacing w:line="360" w:lineRule="auto"/>
        <w:rPr>
          <w:rFonts w:hint="eastAsia"/>
          <w:szCs w:val="24"/>
          <w:highlight w:val="none"/>
        </w:rPr>
      </w:pPr>
    </w:p>
    <w:p w14:paraId="7FD188F3">
      <w:pPr>
        <w:spacing w:line="360" w:lineRule="auto"/>
        <w:rPr>
          <w:rFonts w:hint="eastAsia"/>
          <w:highlight w:val="none"/>
        </w:rPr>
      </w:pPr>
      <w:r>
        <w:rPr>
          <w:rFonts w:hint="eastAsia"/>
          <w:highlight w:val="none"/>
        </w:rPr>
        <w:br w:type="page"/>
      </w:r>
    </w:p>
    <w:p w14:paraId="247FDD7F">
      <w:pPr>
        <w:pStyle w:val="3"/>
        <w:spacing w:line="360" w:lineRule="auto"/>
        <w:rPr>
          <w:rFonts w:hint="eastAsia" w:ascii="宋体" w:hAnsi="宋体"/>
          <w:highlight w:val="none"/>
        </w:rPr>
      </w:pPr>
      <w:bookmarkStart w:id="126" w:name="_Toc72335534"/>
      <w:r>
        <w:rPr>
          <w:rFonts w:hint="eastAsia" w:ascii="宋体" w:hAnsi="宋体"/>
          <w:highlight w:val="none"/>
        </w:rPr>
        <w:t>五、项目经理情况表</w:t>
      </w:r>
      <w:bookmarkEnd w:id="126"/>
    </w:p>
    <w:p w14:paraId="5861177E">
      <w:pPr>
        <w:spacing w:line="360" w:lineRule="auto"/>
        <w:rPr>
          <w:rFonts w:hint="eastAsia"/>
          <w:highlight w:val="none"/>
        </w:rPr>
      </w:pPr>
      <w:r>
        <w:rPr>
          <w:rFonts w:hint="eastAsia"/>
          <w:highlight w:val="none"/>
        </w:rPr>
        <w:t>项目名称：</w:t>
      </w:r>
    </w:p>
    <w:p w14:paraId="1FCF2C1F">
      <w:pPr>
        <w:spacing w:line="360" w:lineRule="auto"/>
        <w:rPr>
          <w:rFonts w:hint="eastAsia"/>
          <w:highlight w:val="none"/>
        </w:rPr>
      </w:pPr>
    </w:p>
    <w:tbl>
      <w:tblPr>
        <w:tblStyle w:val="37"/>
        <w:tblW w:w="91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1051"/>
        <w:gridCol w:w="1061"/>
        <w:gridCol w:w="1159"/>
        <w:gridCol w:w="1140"/>
        <w:gridCol w:w="1050"/>
        <w:gridCol w:w="1155"/>
        <w:gridCol w:w="1332"/>
      </w:tblGrid>
      <w:tr w14:paraId="4FD48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154" w:type="dxa"/>
            <w:tcBorders>
              <w:top w:val="single" w:color="auto" w:sz="12" w:space="0"/>
              <w:left w:val="single" w:color="auto" w:sz="12" w:space="0"/>
              <w:bottom w:val="single" w:color="auto" w:sz="4" w:space="0"/>
              <w:right w:val="single" w:color="auto" w:sz="4" w:space="0"/>
              <w:tl2br w:val="nil"/>
              <w:tr2bl w:val="nil"/>
            </w:tcBorders>
            <w:vAlign w:val="center"/>
          </w:tcPr>
          <w:p w14:paraId="69DC5197">
            <w:pPr>
              <w:spacing w:line="360" w:lineRule="auto"/>
              <w:ind w:hanging="3"/>
              <w:jc w:val="center"/>
              <w:rPr>
                <w:rFonts w:hint="eastAsia"/>
                <w:highlight w:val="none"/>
              </w:rPr>
            </w:pPr>
            <w:r>
              <w:rPr>
                <w:rFonts w:hint="eastAsia"/>
                <w:highlight w:val="none"/>
              </w:rPr>
              <w:t>姓名</w:t>
            </w:r>
          </w:p>
        </w:tc>
        <w:tc>
          <w:tcPr>
            <w:tcW w:w="1051" w:type="dxa"/>
            <w:tcBorders>
              <w:top w:val="single" w:color="auto" w:sz="12" w:space="0"/>
              <w:left w:val="single" w:color="auto" w:sz="4" w:space="0"/>
              <w:bottom w:val="nil"/>
              <w:right w:val="single" w:color="auto" w:sz="4" w:space="0"/>
              <w:tl2br w:val="nil"/>
              <w:tr2bl w:val="nil"/>
            </w:tcBorders>
            <w:vAlign w:val="center"/>
          </w:tcPr>
          <w:p w14:paraId="4432EDC4">
            <w:pPr>
              <w:spacing w:line="360" w:lineRule="auto"/>
              <w:ind w:hanging="3"/>
              <w:jc w:val="center"/>
              <w:rPr>
                <w:rFonts w:hint="eastAsia"/>
                <w:highlight w:val="none"/>
              </w:rPr>
            </w:pPr>
          </w:p>
        </w:tc>
        <w:tc>
          <w:tcPr>
            <w:tcW w:w="1061" w:type="dxa"/>
            <w:tcBorders>
              <w:top w:val="single" w:color="auto" w:sz="12" w:space="0"/>
              <w:left w:val="single" w:color="auto" w:sz="4" w:space="0"/>
              <w:bottom w:val="nil"/>
              <w:right w:val="single" w:color="auto" w:sz="4" w:space="0"/>
              <w:tl2br w:val="nil"/>
              <w:tr2bl w:val="nil"/>
            </w:tcBorders>
            <w:vAlign w:val="center"/>
          </w:tcPr>
          <w:p w14:paraId="70D83EDC">
            <w:pPr>
              <w:spacing w:line="360" w:lineRule="auto"/>
              <w:ind w:hanging="3"/>
              <w:jc w:val="center"/>
              <w:rPr>
                <w:rFonts w:hint="eastAsia"/>
                <w:highlight w:val="none"/>
              </w:rPr>
            </w:pPr>
            <w:r>
              <w:rPr>
                <w:rFonts w:hint="eastAsia"/>
                <w:highlight w:val="none"/>
              </w:rPr>
              <w:t>出生年月</w:t>
            </w:r>
          </w:p>
        </w:tc>
        <w:tc>
          <w:tcPr>
            <w:tcW w:w="1159" w:type="dxa"/>
            <w:tcBorders>
              <w:top w:val="single" w:color="auto" w:sz="12" w:space="0"/>
              <w:left w:val="single" w:color="auto" w:sz="4" w:space="0"/>
              <w:bottom w:val="nil"/>
              <w:right w:val="single" w:color="auto" w:sz="4" w:space="0"/>
              <w:tl2br w:val="nil"/>
              <w:tr2bl w:val="nil"/>
            </w:tcBorders>
            <w:vAlign w:val="center"/>
          </w:tcPr>
          <w:p w14:paraId="32F062C7">
            <w:pPr>
              <w:spacing w:line="360" w:lineRule="auto"/>
              <w:ind w:hanging="3"/>
              <w:rPr>
                <w:rFonts w:hint="eastAsia"/>
                <w:highlight w:val="none"/>
              </w:rPr>
            </w:pPr>
          </w:p>
        </w:tc>
        <w:tc>
          <w:tcPr>
            <w:tcW w:w="1140" w:type="dxa"/>
            <w:tcBorders>
              <w:top w:val="single" w:color="auto" w:sz="12" w:space="0"/>
              <w:left w:val="single" w:color="auto" w:sz="4" w:space="0"/>
              <w:bottom w:val="nil"/>
              <w:right w:val="single" w:color="auto" w:sz="4" w:space="0"/>
              <w:tl2br w:val="nil"/>
              <w:tr2bl w:val="nil"/>
            </w:tcBorders>
            <w:vAlign w:val="center"/>
          </w:tcPr>
          <w:p w14:paraId="4B0A32A6">
            <w:pPr>
              <w:spacing w:line="360" w:lineRule="auto"/>
              <w:ind w:hanging="3"/>
              <w:rPr>
                <w:rFonts w:hint="eastAsia"/>
                <w:highlight w:val="none"/>
              </w:rPr>
            </w:pPr>
            <w:r>
              <w:rPr>
                <w:rFonts w:hint="eastAsia"/>
                <w:highlight w:val="none"/>
              </w:rPr>
              <w:t>文化程度</w:t>
            </w:r>
          </w:p>
        </w:tc>
        <w:tc>
          <w:tcPr>
            <w:tcW w:w="1050" w:type="dxa"/>
            <w:tcBorders>
              <w:top w:val="single" w:color="auto" w:sz="12" w:space="0"/>
              <w:left w:val="single" w:color="auto" w:sz="4" w:space="0"/>
              <w:bottom w:val="nil"/>
              <w:right w:val="single" w:color="auto" w:sz="4" w:space="0"/>
              <w:tl2br w:val="nil"/>
              <w:tr2bl w:val="nil"/>
            </w:tcBorders>
            <w:vAlign w:val="center"/>
          </w:tcPr>
          <w:p w14:paraId="6145F9A5">
            <w:pPr>
              <w:spacing w:line="360" w:lineRule="auto"/>
              <w:ind w:hanging="3"/>
              <w:rPr>
                <w:rFonts w:hint="eastAsia"/>
                <w:highlight w:val="none"/>
              </w:rPr>
            </w:pPr>
          </w:p>
        </w:tc>
        <w:tc>
          <w:tcPr>
            <w:tcW w:w="1155" w:type="dxa"/>
            <w:tcBorders>
              <w:top w:val="single" w:color="auto" w:sz="12" w:space="0"/>
              <w:left w:val="single" w:color="auto" w:sz="4" w:space="0"/>
              <w:bottom w:val="single" w:color="auto" w:sz="4" w:space="0"/>
              <w:right w:val="single" w:color="auto" w:sz="4" w:space="0"/>
              <w:tl2br w:val="nil"/>
              <w:tr2bl w:val="nil"/>
            </w:tcBorders>
            <w:vAlign w:val="center"/>
          </w:tcPr>
          <w:p w14:paraId="54872BFF">
            <w:pPr>
              <w:spacing w:line="360" w:lineRule="auto"/>
              <w:ind w:hanging="3"/>
              <w:rPr>
                <w:rFonts w:hint="eastAsia"/>
                <w:highlight w:val="none"/>
              </w:rPr>
            </w:pPr>
            <w:r>
              <w:rPr>
                <w:rFonts w:hint="eastAsia"/>
                <w:highlight w:val="none"/>
              </w:rPr>
              <w:t>毕业时间</w:t>
            </w:r>
          </w:p>
        </w:tc>
        <w:tc>
          <w:tcPr>
            <w:tcW w:w="1332" w:type="dxa"/>
            <w:tcBorders>
              <w:top w:val="single" w:color="auto" w:sz="12" w:space="0"/>
              <w:left w:val="single" w:color="auto" w:sz="4" w:space="0"/>
              <w:bottom w:val="single" w:color="auto" w:sz="4" w:space="0"/>
              <w:right w:val="single" w:color="auto" w:sz="12" w:space="0"/>
              <w:tl2br w:val="nil"/>
              <w:tr2bl w:val="nil"/>
            </w:tcBorders>
            <w:vAlign w:val="center"/>
          </w:tcPr>
          <w:p w14:paraId="60AFB58B">
            <w:pPr>
              <w:spacing w:line="360" w:lineRule="auto"/>
              <w:ind w:hanging="3"/>
              <w:rPr>
                <w:rFonts w:hint="eastAsia"/>
                <w:highlight w:val="none"/>
              </w:rPr>
            </w:pPr>
          </w:p>
        </w:tc>
      </w:tr>
      <w:tr w14:paraId="63AC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54" w:type="dxa"/>
            <w:tcBorders>
              <w:top w:val="single" w:color="auto" w:sz="4" w:space="0"/>
              <w:left w:val="single" w:color="auto" w:sz="12" w:space="0"/>
              <w:bottom w:val="single" w:color="auto" w:sz="4" w:space="0"/>
              <w:right w:val="single" w:color="auto" w:sz="4" w:space="0"/>
              <w:tl2br w:val="nil"/>
              <w:tr2bl w:val="nil"/>
            </w:tcBorders>
            <w:vAlign w:val="center"/>
          </w:tcPr>
          <w:p w14:paraId="269FE6CF">
            <w:pPr>
              <w:spacing w:line="360" w:lineRule="auto"/>
              <w:ind w:hanging="3"/>
              <w:jc w:val="center"/>
              <w:rPr>
                <w:rFonts w:hint="eastAsia"/>
                <w:highlight w:val="none"/>
              </w:rPr>
            </w:pPr>
            <w:r>
              <w:rPr>
                <w:rFonts w:hint="eastAsia"/>
                <w:highlight w:val="none"/>
              </w:rPr>
              <w:t>毕业院校和专业</w:t>
            </w:r>
          </w:p>
        </w:tc>
        <w:tc>
          <w:tcPr>
            <w:tcW w:w="211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F665968">
            <w:pPr>
              <w:spacing w:line="360" w:lineRule="auto"/>
              <w:ind w:hanging="3"/>
              <w:jc w:val="center"/>
              <w:rPr>
                <w:rFonts w:hint="eastAsia"/>
                <w:highlight w:val="none"/>
              </w:rPr>
            </w:pPr>
          </w:p>
        </w:tc>
        <w:tc>
          <w:tcPr>
            <w:tcW w:w="1159" w:type="dxa"/>
            <w:tcBorders>
              <w:top w:val="single" w:color="auto" w:sz="4" w:space="0"/>
              <w:left w:val="single" w:color="auto" w:sz="4" w:space="0"/>
              <w:bottom w:val="single" w:color="auto" w:sz="4" w:space="0"/>
              <w:right w:val="single" w:color="auto" w:sz="4" w:space="0"/>
              <w:tl2br w:val="nil"/>
              <w:tr2bl w:val="nil"/>
            </w:tcBorders>
            <w:vAlign w:val="center"/>
          </w:tcPr>
          <w:p w14:paraId="7480CC2F">
            <w:pPr>
              <w:spacing w:line="360" w:lineRule="auto"/>
              <w:ind w:hanging="3"/>
              <w:jc w:val="center"/>
              <w:rPr>
                <w:rFonts w:hint="eastAsia"/>
                <w:highlight w:val="none"/>
              </w:rPr>
            </w:pPr>
            <w:r>
              <w:rPr>
                <w:rFonts w:hint="eastAsia"/>
                <w:highlight w:val="none"/>
              </w:rPr>
              <w:t>从事服务工作年限</w:t>
            </w:r>
          </w:p>
        </w:tc>
        <w:tc>
          <w:tcPr>
            <w:tcW w:w="2190"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C262C60">
            <w:pPr>
              <w:spacing w:line="360" w:lineRule="auto"/>
              <w:ind w:hanging="3"/>
              <w:jc w:val="center"/>
              <w:rPr>
                <w:rFonts w:hint="eastAsia"/>
                <w:highlight w:val="none"/>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14:paraId="2F8117BF">
            <w:pPr>
              <w:spacing w:line="360" w:lineRule="auto"/>
              <w:ind w:hanging="3"/>
              <w:rPr>
                <w:rFonts w:hint="eastAsia"/>
                <w:highlight w:val="none"/>
              </w:rPr>
            </w:pPr>
            <w:r>
              <w:rPr>
                <w:rFonts w:hint="eastAsia"/>
                <w:highlight w:val="none"/>
              </w:rPr>
              <w:t>联系方式</w:t>
            </w:r>
          </w:p>
        </w:tc>
        <w:tc>
          <w:tcPr>
            <w:tcW w:w="1332" w:type="dxa"/>
            <w:tcBorders>
              <w:top w:val="single" w:color="auto" w:sz="4" w:space="0"/>
              <w:left w:val="single" w:color="auto" w:sz="4" w:space="0"/>
              <w:bottom w:val="single" w:color="auto" w:sz="4" w:space="0"/>
              <w:right w:val="single" w:color="auto" w:sz="12" w:space="0"/>
              <w:tl2br w:val="nil"/>
              <w:tr2bl w:val="nil"/>
            </w:tcBorders>
            <w:vAlign w:val="center"/>
          </w:tcPr>
          <w:p w14:paraId="0678CF0F">
            <w:pPr>
              <w:spacing w:line="360" w:lineRule="auto"/>
              <w:ind w:hanging="3"/>
              <w:rPr>
                <w:rFonts w:hint="eastAsia"/>
                <w:highlight w:val="none"/>
              </w:rPr>
            </w:pPr>
          </w:p>
        </w:tc>
      </w:tr>
      <w:tr w14:paraId="3039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154" w:type="dxa"/>
            <w:tcBorders>
              <w:top w:val="single" w:color="auto" w:sz="4" w:space="0"/>
              <w:left w:val="single" w:color="auto" w:sz="12" w:space="0"/>
              <w:bottom w:val="single" w:color="auto" w:sz="4" w:space="0"/>
              <w:right w:val="single" w:color="auto" w:sz="4" w:space="0"/>
              <w:tl2br w:val="nil"/>
              <w:tr2bl w:val="nil"/>
            </w:tcBorders>
            <w:vAlign w:val="center"/>
          </w:tcPr>
          <w:p w14:paraId="5FAD75F5">
            <w:pPr>
              <w:spacing w:line="360" w:lineRule="auto"/>
              <w:ind w:hanging="3"/>
              <w:jc w:val="center"/>
              <w:rPr>
                <w:rFonts w:hint="eastAsia"/>
                <w:highlight w:val="none"/>
              </w:rPr>
            </w:pPr>
            <w:r>
              <w:rPr>
                <w:rFonts w:hint="eastAsia"/>
                <w:highlight w:val="none"/>
              </w:rPr>
              <w:t>职业资格</w:t>
            </w:r>
          </w:p>
        </w:tc>
        <w:tc>
          <w:tcPr>
            <w:tcW w:w="2112"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C9312BF">
            <w:pPr>
              <w:spacing w:line="360" w:lineRule="auto"/>
              <w:ind w:hanging="3"/>
              <w:jc w:val="center"/>
              <w:rPr>
                <w:rFonts w:hint="eastAsia"/>
                <w:highlight w:val="none"/>
              </w:rPr>
            </w:pPr>
          </w:p>
        </w:tc>
        <w:tc>
          <w:tcPr>
            <w:tcW w:w="1159" w:type="dxa"/>
            <w:tcBorders>
              <w:top w:val="single" w:color="auto" w:sz="4" w:space="0"/>
              <w:left w:val="single" w:color="auto" w:sz="4" w:space="0"/>
              <w:bottom w:val="single" w:color="auto" w:sz="4" w:space="0"/>
              <w:right w:val="single" w:color="auto" w:sz="4" w:space="0"/>
              <w:tl2br w:val="nil"/>
              <w:tr2bl w:val="nil"/>
            </w:tcBorders>
            <w:vAlign w:val="center"/>
          </w:tcPr>
          <w:p w14:paraId="5142DB97">
            <w:pPr>
              <w:spacing w:line="360" w:lineRule="auto"/>
              <w:ind w:hanging="3"/>
              <w:rPr>
                <w:rFonts w:hint="eastAsia"/>
                <w:highlight w:val="none"/>
              </w:rPr>
            </w:pPr>
            <w:r>
              <w:rPr>
                <w:rFonts w:hint="eastAsia"/>
                <w:highlight w:val="none"/>
              </w:rPr>
              <w:t>技术职称</w:t>
            </w:r>
          </w:p>
        </w:tc>
        <w:tc>
          <w:tcPr>
            <w:tcW w:w="2190"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CEEFE29">
            <w:pPr>
              <w:spacing w:line="360" w:lineRule="auto"/>
              <w:ind w:hanging="3"/>
              <w:rPr>
                <w:rFonts w:hint="eastAsia"/>
                <w:highlight w:val="none"/>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14:paraId="47991740">
            <w:pPr>
              <w:spacing w:line="360" w:lineRule="auto"/>
              <w:ind w:hanging="3"/>
              <w:rPr>
                <w:rFonts w:hint="eastAsia"/>
                <w:highlight w:val="none"/>
              </w:rPr>
            </w:pPr>
            <w:r>
              <w:rPr>
                <w:rFonts w:hint="eastAsia"/>
                <w:highlight w:val="none"/>
              </w:rPr>
              <w:t>聘任时间</w:t>
            </w:r>
          </w:p>
        </w:tc>
        <w:tc>
          <w:tcPr>
            <w:tcW w:w="1332" w:type="dxa"/>
            <w:tcBorders>
              <w:top w:val="single" w:color="auto" w:sz="4" w:space="0"/>
              <w:left w:val="single" w:color="auto" w:sz="4" w:space="0"/>
              <w:bottom w:val="single" w:color="auto" w:sz="4" w:space="0"/>
              <w:right w:val="single" w:color="auto" w:sz="12" w:space="0"/>
              <w:tl2br w:val="nil"/>
              <w:tr2bl w:val="nil"/>
            </w:tcBorders>
            <w:vAlign w:val="center"/>
          </w:tcPr>
          <w:p w14:paraId="571DE078">
            <w:pPr>
              <w:spacing w:line="360" w:lineRule="auto"/>
              <w:ind w:hanging="3"/>
              <w:rPr>
                <w:rFonts w:hint="eastAsia"/>
                <w:highlight w:val="none"/>
              </w:rPr>
            </w:pPr>
          </w:p>
        </w:tc>
      </w:tr>
      <w:tr w14:paraId="3E628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2" w:hRule="atLeast"/>
        </w:trPr>
        <w:tc>
          <w:tcPr>
            <w:tcW w:w="9102" w:type="dxa"/>
            <w:gridSpan w:val="8"/>
            <w:tcBorders>
              <w:top w:val="single" w:color="auto" w:sz="4" w:space="0"/>
              <w:left w:val="single" w:color="auto" w:sz="12" w:space="0"/>
              <w:bottom w:val="single" w:color="auto" w:sz="4" w:space="0"/>
              <w:right w:val="single" w:color="auto" w:sz="12" w:space="0"/>
              <w:tl2br w:val="nil"/>
              <w:tr2bl w:val="nil"/>
            </w:tcBorders>
          </w:tcPr>
          <w:p w14:paraId="1EE04832">
            <w:pPr>
              <w:spacing w:line="360" w:lineRule="auto"/>
              <w:ind w:hanging="3"/>
              <w:rPr>
                <w:rFonts w:hint="eastAsia"/>
                <w:highlight w:val="none"/>
              </w:rPr>
            </w:pPr>
            <w:r>
              <w:rPr>
                <w:rFonts w:hint="eastAsia"/>
                <w:highlight w:val="none"/>
              </w:rPr>
              <w:t>主要工作经历：</w:t>
            </w:r>
          </w:p>
          <w:p w14:paraId="1D3E6734">
            <w:pPr>
              <w:spacing w:line="360" w:lineRule="auto"/>
              <w:ind w:hanging="3"/>
              <w:rPr>
                <w:rFonts w:hint="eastAsia"/>
                <w:highlight w:val="none"/>
              </w:rPr>
            </w:pPr>
          </w:p>
          <w:p w14:paraId="7E0A02D7">
            <w:pPr>
              <w:spacing w:line="360" w:lineRule="auto"/>
              <w:ind w:hanging="3"/>
              <w:rPr>
                <w:rFonts w:hint="eastAsia"/>
                <w:highlight w:val="none"/>
              </w:rPr>
            </w:pPr>
          </w:p>
          <w:p w14:paraId="611BE0D9">
            <w:pPr>
              <w:spacing w:line="360" w:lineRule="auto"/>
              <w:ind w:hanging="3"/>
              <w:rPr>
                <w:rFonts w:hint="eastAsia"/>
                <w:highlight w:val="none"/>
              </w:rPr>
            </w:pPr>
            <w:r>
              <w:rPr>
                <w:rFonts w:hint="eastAsia"/>
                <w:highlight w:val="none"/>
              </w:rPr>
              <w:t>主要工作业绩：</w:t>
            </w:r>
          </w:p>
          <w:p w14:paraId="058DD0A8">
            <w:pPr>
              <w:spacing w:line="360" w:lineRule="auto"/>
              <w:ind w:hanging="3"/>
              <w:rPr>
                <w:rFonts w:hint="eastAsia"/>
                <w:highlight w:val="none"/>
              </w:rPr>
            </w:pPr>
          </w:p>
          <w:p w14:paraId="2C8A7F1F">
            <w:pPr>
              <w:spacing w:line="360" w:lineRule="auto"/>
              <w:ind w:hanging="3"/>
              <w:rPr>
                <w:rFonts w:hint="eastAsia"/>
                <w:highlight w:val="none"/>
              </w:rPr>
            </w:pPr>
          </w:p>
          <w:p w14:paraId="583B83AE">
            <w:pPr>
              <w:spacing w:line="360" w:lineRule="auto"/>
              <w:ind w:hanging="3"/>
              <w:rPr>
                <w:rFonts w:hint="eastAsia"/>
                <w:highlight w:val="none"/>
              </w:rPr>
            </w:pPr>
            <w:r>
              <w:rPr>
                <w:rFonts w:hint="eastAsia"/>
                <w:highlight w:val="none"/>
              </w:rPr>
              <w:t>胜任本项目经理的理由：</w:t>
            </w:r>
          </w:p>
          <w:p w14:paraId="7E37859F">
            <w:pPr>
              <w:spacing w:line="360" w:lineRule="auto"/>
              <w:ind w:hanging="3"/>
              <w:rPr>
                <w:rFonts w:hint="eastAsia"/>
                <w:highlight w:val="none"/>
              </w:rPr>
            </w:pPr>
          </w:p>
          <w:p w14:paraId="330E15AE">
            <w:pPr>
              <w:spacing w:line="360" w:lineRule="auto"/>
              <w:ind w:hanging="3"/>
              <w:rPr>
                <w:rFonts w:hint="eastAsia"/>
                <w:highlight w:val="none"/>
              </w:rPr>
            </w:pPr>
            <w:r>
              <w:rPr>
                <w:rFonts w:hint="eastAsia"/>
                <w:highlight w:val="none"/>
              </w:rPr>
              <w:t>本项目经理管理思路和工作安排：</w:t>
            </w:r>
          </w:p>
        </w:tc>
      </w:tr>
    </w:tbl>
    <w:p w14:paraId="64696BFB">
      <w:pPr>
        <w:spacing w:line="360" w:lineRule="auto"/>
        <w:rPr>
          <w:rFonts w:hint="eastAsia"/>
          <w:highlight w:val="none"/>
        </w:rPr>
      </w:pPr>
    </w:p>
    <w:p w14:paraId="3B606CF4">
      <w:pPr>
        <w:pStyle w:val="11"/>
        <w:spacing w:line="360" w:lineRule="auto"/>
        <w:rPr>
          <w:rFonts w:hint="eastAsia"/>
          <w:szCs w:val="24"/>
          <w:highlight w:val="none"/>
        </w:rPr>
      </w:pPr>
    </w:p>
    <w:p w14:paraId="7D408E46">
      <w:pPr>
        <w:spacing w:line="360" w:lineRule="auto"/>
        <w:jc w:val="center"/>
        <w:rPr>
          <w:rFonts w:hint="eastAsia"/>
          <w:highlight w:val="none"/>
        </w:rPr>
      </w:pPr>
      <w:r>
        <w:rPr>
          <w:rFonts w:hint="eastAsia"/>
          <w:highlight w:val="none"/>
        </w:rPr>
        <w:br w:type="page"/>
      </w:r>
    </w:p>
    <w:p w14:paraId="309F1821">
      <w:pPr>
        <w:spacing w:line="360" w:lineRule="auto"/>
        <w:jc w:val="center"/>
        <w:rPr>
          <w:rFonts w:hint="eastAsia"/>
          <w:b/>
          <w:sz w:val="30"/>
          <w:szCs w:val="20"/>
          <w:highlight w:val="none"/>
        </w:rPr>
      </w:pPr>
      <w:r>
        <w:rPr>
          <w:rFonts w:hint="eastAsia"/>
          <w:b/>
          <w:sz w:val="30"/>
          <w:szCs w:val="20"/>
          <w:highlight w:val="none"/>
        </w:rPr>
        <w:t>六、主要人员配备及相关工作经历、职业资格汇总表</w:t>
      </w:r>
    </w:p>
    <w:p w14:paraId="626D77D6">
      <w:pPr>
        <w:spacing w:line="360" w:lineRule="auto"/>
        <w:rPr>
          <w:rFonts w:hint="eastAsia"/>
          <w:b/>
          <w:highlight w:val="none"/>
        </w:rPr>
      </w:pPr>
      <w:r>
        <w:rPr>
          <w:rFonts w:hint="eastAsia"/>
          <w:b/>
          <w:highlight w:val="none"/>
        </w:rPr>
        <w:t>项目名称：</w:t>
      </w:r>
    </w:p>
    <w:p w14:paraId="1C9B4262">
      <w:pPr>
        <w:spacing w:line="360" w:lineRule="auto"/>
        <w:rPr>
          <w:rFonts w:hint="eastAsia"/>
          <w:b/>
          <w:highlight w:val="none"/>
        </w:rPr>
      </w:pPr>
    </w:p>
    <w:tbl>
      <w:tblPr>
        <w:tblStyle w:val="3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1"/>
        <w:gridCol w:w="698"/>
        <w:gridCol w:w="1614"/>
        <w:gridCol w:w="2035"/>
        <w:gridCol w:w="1879"/>
        <w:gridCol w:w="1879"/>
      </w:tblGrid>
      <w:tr w14:paraId="02C9E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pct"/>
            <w:tcBorders>
              <w:top w:val="single" w:color="auto" w:sz="4" w:space="0"/>
              <w:left w:val="single" w:color="auto" w:sz="4" w:space="0"/>
              <w:bottom w:val="single" w:color="auto" w:sz="4" w:space="0"/>
              <w:right w:val="single" w:color="auto" w:sz="4" w:space="0"/>
              <w:tl2br w:val="nil"/>
              <w:tr2bl w:val="nil"/>
            </w:tcBorders>
            <w:vAlign w:val="center"/>
          </w:tcPr>
          <w:p w14:paraId="0B4E63D3">
            <w:pPr>
              <w:spacing w:line="360" w:lineRule="auto"/>
              <w:jc w:val="center"/>
              <w:rPr>
                <w:rFonts w:hint="eastAsia"/>
                <w:highlight w:val="none"/>
              </w:rPr>
            </w:pPr>
            <w:r>
              <w:rPr>
                <w:rFonts w:hint="eastAsia"/>
                <w:highlight w:val="none"/>
              </w:rPr>
              <w:t>项目组成员姓名</w:t>
            </w:r>
          </w:p>
        </w:tc>
        <w:tc>
          <w:tcPr>
            <w:tcW w:w="371" w:type="pct"/>
            <w:tcBorders>
              <w:top w:val="single" w:color="auto" w:sz="4" w:space="0"/>
              <w:left w:val="single" w:color="auto" w:sz="4" w:space="0"/>
              <w:bottom w:val="single" w:color="auto" w:sz="4" w:space="0"/>
              <w:right w:val="single" w:color="auto" w:sz="4" w:space="0"/>
              <w:tl2br w:val="nil"/>
              <w:tr2bl w:val="nil"/>
            </w:tcBorders>
            <w:vAlign w:val="center"/>
          </w:tcPr>
          <w:p w14:paraId="59584E4C">
            <w:pPr>
              <w:spacing w:line="360" w:lineRule="auto"/>
              <w:jc w:val="center"/>
              <w:rPr>
                <w:rFonts w:hint="eastAsia"/>
                <w:highlight w:val="none"/>
              </w:rPr>
            </w:pPr>
            <w:r>
              <w:rPr>
                <w:rFonts w:hint="eastAsia"/>
                <w:highlight w:val="none"/>
              </w:rPr>
              <w:t>年龄</w:t>
            </w:r>
          </w:p>
        </w:tc>
        <w:tc>
          <w:tcPr>
            <w:tcW w:w="858" w:type="pct"/>
            <w:tcBorders>
              <w:top w:val="single" w:color="auto" w:sz="4" w:space="0"/>
              <w:left w:val="single" w:color="auto" w:sz="4" w:space="0"/>
              <w:bottom w:val="single" w:color="auto" w:sz="4" w:space="0"/>
              <w:right w:val="single" w:color="auto" w:sz="4" w:space="0"/>
              <w:tl2br w:val="nil"/>
              <w:tr2bl w:val="nil"/>
            </w:tcBorders>
            <w:vAlign w:val="center"/>
          </w:tcPr>
          <w:p w14:paraId="2BC09FBD">
            <w:pPr>
              <w:spacing w:line="360" w:lineRule="auto"/>
              <w:jc w:val="center"/>
              <w:rPr>
                <w:rFonts w:hint="eastAsia"/>
                <w:highlight w:val="none"/>
              </w:rPr>
            </w:pPr>
            <w:r>
              <w:rPr>
                <w:rFonts w:hint="eastAsia"/>
                <w:highlight w:val="none"/>
              </w:rPr>
              <w:t>在项目组中的岗位</w:t>
            </w:r>
          </w:p>
        </w:tc>
        <w:tc>
          <w:tcPr>
            <w:tcW w:w="1082" w:type="pct"/>
            <w:tcBorders>
              <w:top w:val="single" w:color="auto" w:sz="4" w:space="0"/>
              <w:left w:val="single" w:color="auto" w:sz="4" w:space="0"/>
              <w:bottom w:val="single" w:color="auto" w:sz="4" w:space="0"/>
              <w:right w:val="single" w:color="auto" w:sz="4" w:space="0"/>
              <w:tl2br w:val="nil"/>
              <w:tr2bl w:val="nil"/>
            </w:tcBorders>
            <w:vAlign w:val="center"/>
          </w:tcPr>
          <w:p w14:paraId="17BCDF3E">
            <w:pPr>
              <w:spacing w:line="360" w:lineRule="auto"/>
              <w:jc w:val="center"/>
              <w:rPr>
                <w:rFonts w:hint="eastAsia"/>
                <w:highlight w:val="none"/>
              </w:rPr>
            </w:pPr>
            <w:r>
              <w:rPr>
                <w:rFonts w:hint="eastAsia"/>
                <w:highlight w:val="none"/>
              </w:rPr>
              <w:t>学历和毕业时间</w:t>
            </w:r>
          </w:p>
        </w:tc>
        <w:tc>
          <w:tcPr>
            <w:tcW w:w="999" w:type="pct"/>
            <w:tcBorders>
              <w:top w:val="single" w:color="auto" w:sz="4" w:space="0"/>
              <w:left w:val="single" w:color="auto" w:sz="4" w:space="0"/>
              <w:bottom w:val="single" w:color="auto" w:sz="4" w:space="0"/>
              <w:right w:val="single" w:color="auto" w:sz="4" w:space="0"/>
              <w:tl2br w:val="nil"/>
              <w:tr2bl w:val="nil"/>
            </w:tcBorders>
            <w:vAlign w:val="center"/>
          </w:tcPr>
          <w:p w14:paraId="43CD0F3C">
            <w:pPr>
              <w:spacing w:line="360" w:lineRule="auto"/>
              <w:jc w:val="center"/>
              <w:rPr>
                <w:rFonts w:hint="eastAsia"/>
                <w:highlight w:val="none"/>
              </w:rPr>
            </w:pPr>
            <w:r>
              <w:rPr>
                <w:rFonts w:hint="eastAsia"/>
                <w:highlight w:val="none"/>
              </w:rPr>
              <w:t>相关工作经历</w:t>
            </w:r>
          </w:p>
        </w:tc>
        <w:tc>
          <w:tcPr>
            <w:tcW w:w="999" w:type="pct"/>
            <w:tcBorders>
              <w:top w:val="single" w:color="auto" w:sz="4" w:space="0"/>
              <w:left w:val="single" w:color="auto" w:sz="4" w:space="0"/>
              <w:bottom w:val="single" w:color="auto" w:sz="4" w:space="0"/>
              <w:right w:val="single" w:color="auto" w:sz="4" w:space="0"/>
              <w:tl2br w:val="nil"/>
              <w:tr2bl w:val="nil"/>
            </w:tcBorders>
            <w:vAlign w:val="center"/>
          </w:tcPr>
          <w:p w14:paraId="2CCE561A">
            <w:pPr>
              <w:spacing w:line="360" w:lineRule="auto"/>
              <w:jc w:val="center"/>
              <w:rPr>
                <w:rFonts w:hint="eastAsia"/>
                <w:highlight w:val="none"/>
              </w:rPr>
            </w:pPr>
            <w:r>
              <w:rPr>
                <w:rFonts w:hint="eastAsia"/>
                <w:highlight w:val="none"/>
              </w:rPr>
              <w:t>联系方式</w:t>
            </w:r>
          </w:p>
        </w:tc>
      </w:tr>
      <w:tr w14:paraId="7C0D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pct"/>
            <w:tcBorders>
              <w:top w:val="single" w:color="auto" w:sz="4" w:space="0"/>
              <w:left w:val="single" w:color="auto" w:sz="4" w:space="0"/>
              <w:bottom w:val="single" w:color="auto" w:sz="4" w:space="0"/>
              <w:right w:val="single" w:color="auto" w:sz="4" w:space="0"/>
              <w:tl2br w:val="nil"/>
              <w:tr2bl w:val="nil"/>
            </w:tcBorders>
          </w:tcPr>
          <w:p w14:paraId="1799C721">
            <w:pPr>
              <w:spacing w:line="360" w:lineRule="auto"/>
              <w:rPr>
                <w:rFonts w:hint="eastAsia"/>
                <w:highlight w:val="none"/>
              </w:rPr>
            </w:pPr>
          </w:p>
        </w:tc>
        <w:tc>
          <w:tcPr>
            <w:tcW w:w="371" w:type="pct"/>
            <w:tcBorders>
              <w:top w:val="single" w:color="auto" w:sz="4" w:space="0"/>
              <w:left w:val="single" w:color="auto" w:sz="4" w:space="0"/>
              <w:bottom w:val="single" w:color="auto" w:sz="4" w:space="0"/>
              <w:right w:val="single" w:color="auto" w:sz="4" w:space="0"/>
              <w:tl2br w:val="nil"/>
              <w:tr2bl w:val="nil"/>
            </w:tcBorders>
          </w:tcPr>
          <w:p w14:paraId="0178F7D0">
            <w:pPr>
              <w:spacing w:line="360" w:lineRule="auto"/>
              <w:rPr>
                <w:rFonts w:hint="eastAsia"/>
                <w:highlight w:val="none"/>
              </w:rPr>
            </w:pPr>
          </w:p>
        </w:tc>
        <w:tc>
          <w:tcPr>
            <w:tcW w:w="858" w:type="pct"/>
            <w:tcBorders>
              <w:top w:val="single" w:color="auto" w:sz="4" w:space="0"/>
              <w:left w:val="single" w:color="auto" w:sz="4" w:space="0"/>
              <w:bottom w:val="single" w:color="auto" w:sz="4" w:space="0"/>
              <w:right w:val="single" w:color="auto" w:sz="4" w:space="0"/>
              <w:tl2br w:val="nil"/>
              <w:tr2bl w:val="nil"/>
            </w:tcBorders>
          </w:tcPr>
          <w:p w14:paraId="18C7A13C">
            <w:pPr>
              <w:spacing w:line="360" w:lineRule="auto"/>
              <w:rPr>
                <w:rFonts w:hint="eastAsia"/>
                <w:highlight w:val="none"/>
              </w:rPr>
            </w:pPr>
          </w:p>
        </w:tc>
        <w:tc>
          <w:tcPr>
            <w:tcW w:w="1082" w:type="pct"/>
            <w:tcBorders>
              <w:top w:val="single" w:color="auto" w:sz="4" w:space="0"/>
              <w:left w:val="single" w:color="auto" w:sz="4" w:space="0"/>
              <w:bottom w:val="single" w:color="auto" w:sz="4" w:space="0"/>
              <w:right w:val="single" w:color="auto" w:sz="4" w:space="0"/>
              <w:tl2br w:val="nil"/>
              <w:tr2bl w:val="nil"/>
            </w:tcBorders>
          </w:tcPr>
          <w:p w14:paraId="3D8136E4">
            <w:pPr>
              <w:spacing w:line="360" w:lineRule="auto"/>
              <w:rPr>
                <w:rFonts w:hint="eastAsia"/>
                <w:highlight w:val="none"/>
              </w:rPr>
            </w:pPr>
          </w:p>
        </w:tc>
        <w:tc>
          <w:tcPr>
            <w:tcW w:w="999" w:type="pct"/>
            <w:tcBorders>
              <w:top w:val="single" w:color="auto" w:sz="4" w:space="0"/>
              <w:left w:val="single" w:color="auto" w:sz="4" w:space="0"/>
              <w:bottom w:val="single" w:color="auto" w:sz="4" w:space="0"/>
              <w:right w:val="single" w:color="auto" w:sz="4" w:space="0"/>
              <w:tl2br w:val="nil"/>
              <w:tr2bl w:val="nil"/>
            </w:tcBorders>
          </w:tcPr>
          <w:p w14:paraId="2123A1BC">
            <w:pPr>
              <w:spacing w:line="360" w:lineRule="auto"/>
              <w:rPr>
                <w:rFonts w:hint="eastAsia"/>
                <w:highlight w:val="none"/>
              </w:rPr>
            </w:pPr>
          </w:p>
        </w:tc>
        <w:tc>
          <w:tcPr>
            <w:tcW w:w="999" w:type="pct"/>
            <w:tcBorders>
              <w:top w:val="single" w:color="auto" w:sz="4" w:space="0"/>
              <w:left w:val="single" w:color="auto" w:sz="4" w:space="0"/>
              <w:bottom w:val="single" w:color="auto" w:sz="4" w:space="0"/>
              <w:right w:val="single" w:color="auto" w:sz="4" w:space="0"/>
              <w:tl2br w:val="nil"/>
              <w:tr2bl w:val="nil"/>
            </w:tcBorders>
          </w:tcPr>
          <w:p w14:paraId="6F005D72">
            <w:pPr>
              <w:spacing w:line="360" w:lineRule="auto"/>
              <w:rPr>
                <w:rFonts w:hint="eastAsia"/>
                <w:highlight w:val="none"/>
              </w:rPr>
            </w:pPr>
          </w:p>
        </w:tc>
      </w:tr>
      <w:tr w14:paraId="6521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pct"/>
            <w:tcBorders>
              <w:top w:val="single" w:color="auto" w:sz="4" w:space="0"/>
              <w:left w:val="single" w:color="auto" w:sz="4" w:space="0"/>
              <w:bottom w:val="single" w:color="auto" w:sz="4" w:space="0"/>
              <w:right w:val="single" w:color="auto" w:sz="4" w:space="0"/>
              <w:tl2br w:val="nil"/>
              <w:tr2bl w:val="nil"/>
            </w:tcBorders>
          </w:tcPr>
          <w:p w14:paraId="37CF4B6D">
            <w:pPr>
              <w:spacing w:line="360" w:lineRule="auto"/>
              <w:rPr>
                <w:rFonts w:hint="eastAsia"/>
                <w:highlight w:val="none"/>
              </w:rPr>
            </w:pPr>
          </w:p>
        </w:tc>
        <w:tc>
          <w:tcPr>
            <w:tcW w:w="371" w:type="pct"/>
            <w:tcBorders>
              <w:top w:val="single" w:color="auto" w:sz="4" w:space="0"/>
              <w:left w:val="single" w:color="auto" w:sz="4" w:space="0"/>
              <w:bottom w:val="single" w:color="auto" w:sz="4" w:space="0"/>
              <w:right w:val="single" w:color="auto" w:sz="4" w:space="0"/>
              <w:tl2br w:val="nil"/>
              <w:tr2bl w:val="nil"/>
            </w:tcBorders>
          </w:tcPr>
          <w:p w14:paraId="268D6D3D">
            <w:pPr>
              <w:spacing w:line="360" w:lineRule="auto"/>
              <w:rPr>
                <w:rFonts w:hint="eastAsia"/>
                <w:highlight w:val="none"/>
              </w:rPr>
            </w:pPr>
          </w:p>
        </w:tc>
        <w:tc>
          <w:tcPr>
            <w:tcW w:w="858" w:type="pct"/>
            <w:tcBorders>
              <w:top w:val="single" w:color="auto" w:sz="4" w:space="0"/>
              <w:left w:val="single" w:color="auto" w:sz="4" w:space="0"/>
              <w:bottom w:val="single" w:color="auto" w:sz="4" w:space="0"/>
              <w:right w:val="single" w:color="auto" w:sz="4" w:space="0"/>
              <w:tl2br w:val="nil"/>
              <w:tr2bl w:val="nil"/>
            </w:tcBorders>
          </w:tcPr>
          <w:p w14:paraId="1AA4926E">
            <w:pPr>
              <w:spacing w:line="360" w:lineRule="auto"/>
              <w:rPr>
                <w:rFonts w:hint="eastAsia"/>
                <w:highlight w:val="none"/>
              </w:rPr>
            </w:pPr>
          </w:p>
        </w:tc>
        <w:tc>
          <w:tcPr>
            <w:tcW w:w="1082" w:type="pct"/>
            <w:tcBorders>
              <w:top w:val="single" w:color="auto" w:sz="4" w:space="0"/>
              <w:left w:val="single" w:color="auto" w:sz="4" w:space="0"/>
              <w:bottom w:val="single" w:color="auto" w:sz="4" w:space="0"/>
              <w:right w:val="single" w:color="auto" w:sz="4" w:space="0"/>
              <w:tl2br w:val="nil"/>
              <w:tr2bl w:val="nil"/>
            </w:tcBorders>
          </w:tcPr>
          <w:p w14:paraId="36925490">
            <w:pPr>
              <w:spacing w:line="360" w:lineRule="auto"/>
              <w:rPr>
                <w:rFonts w:hint="eastAsia"/>
                <w:highlight w:val="none"/>
              </w:rPr>
            </w:pPr>
          </w:p>
        </w:tc>
        <w:tc>
          <w:tcPr>
            <w:tcW w:w="999" w:type="pct"/>
            <w:tcBorders>
              <w:top w:val="single" w:color="auto" w:sz="4" w:space="0"/>
              <w:left w:val="single" w:color="auto" w:sz="4" w:space="0"/>
              <w:bottom w:val="single" w:color="auto" w:sz="4" w:space="0"/>
              <w:right w:val="single" w:color="auto" w:sz="4" w:space="0"/>
              <w:tl2br w:val="nil"/>
              <w:tr2bl w:val="nil"/>
            </w:tcBorders>
          </w:tcPr>
          <w:p w14:paraId="26C2E08C">
            <w:pPr>
              <w:spacing w:line="360" w:lineRule="auto"/>
              <w:rPr>
                <w:rFonts w:hint="eastAsia"/>
                <w:highlight w:val="none"/>
              </w:rPr>
            </w:pPr>
          </w:p>
        </w:tc>
        <w:tc>
          <w:tcPr>
            <w:tcW w:w="999" w:type="pct"/>
            <w:tcBorders>
              <w:top w:val="single" w:color="auto" w:sz="4" w:space="0"/>
              <w:left w:val="single" w:color="auto" w:sz="4" w:space="0"/>
              <w:bottom w:val="single" w:color="auto" w:sz="4" w:space="0"/>
              <w:right w:val="single" w:color="auto" w:sz="4" w:space="0"/>
              <w:tl2br w:val="nil"/>
              <w:tr2bl w:val="nil"/>
            </w:tcBorders>
          </w:tcPr>
          <w:p w14:paraId="1D2D123C">
            <w:pPr>
              <w:spacing w:line="360" w:lineRule="auto"/>
              <w:rPr>
                <w:rFonts w:hint="eastAsia"/>
                <w:highlight w:val="none"/>
              </w:rPr>
            </w:pPr>
          </w:p>
        </w:tc>
      </w:tr>
      <w:tr w14:paraId="00CAD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pct"/>
            <w:tcBorders>
              <w:top w:val="single" w:color="auto" w:sz="4" w:space="0"/>
              <w:left w:val="single" w:color="auto" w:sz="4" w:space="0"/>
              <w:bottom w:val="single" w:color="auto" w:sz="4" w:space="0"/>
              <w:right w:val="single" w:color="auto" w:sz="4" w:space="0"/>
              <w:tl2br w:val="nil"/>
              <w:tr2bl w:val="nil"/>
            </w:tcBorders>
          </w:tcPr>
          <w:p w14:paraId="4841CEB6">
            <w:pPr>
              <w:spacing w:line="360" w:lineRule="auto"/>
              <w:rPr>
                <w:rFonts w:hint="eastAsia"/>
                <w:highlight w:val="none"/>
              </w:rPr>
            </w:pPr>
          </w:p>
        </w:tc>
        <w:tc>
          <w:tcPr>
            <w:tcW w:w="371" w:type="pct"/>
            <w:tcBorders>
              <w:top w:val="single" w:color="auto" w:sz="4" w:space="0"/>
              <w:left w:val="single" w:color="auto" w:sz="4" w:space="0"/>
              <w:bottom w:val="single" w:color="auto" w:sz="4" w:space="0"/>
              <w:right w:val="single" w:color="auto" w:sz="4" w:space="0"/>
              <w:tl2br w:val="nil"/>
              <w:tr2bl w:val="nil"/>
            </w:tcBorders>
          </w:tcPr>
          <w:p w14:paraId="1FA3FDD3">
            <w:pPr>
              <w:spacing w:line="360" w:lineRule="auto"/>
              <w:rPr>
                <w:rFonts w:hint="eastAsia"/>
                <w:highlight w:val="none"/>
              </w:rPr>
            </w:pPr>
          </w:p>
        </w:tc>
        <w:tc>
          <w:tcPr>
            <w:tcW w:w="858" w:type="pct"/>
            <w:tcBorders>
              <w:top w:val="single" w:color="auto" w:sz="4" w:space="0"/>
              <w:left w:val="single" w:color="auto" w:sz="4" w:space="0"/>
              <w:bottom w:val="single" w:color="auto" w:sz="4" w:space="0"/>
              <w:right w:val="single" w:color="auto" w:sz="4" w:space="0"/>
              <w:tl2br w:val="nil"/>
              <w:tr2bl w:val="nil"/>
            </w:tcBorders>
          </w:tcPr>
          <w:p w14:paraId="714D5C18">
            <w:pPr>
              <w:spacing w:line="360" w:lineRule="auto"/>
              <w:rPr>
                <w:rFonts w:hint="eastAsia"/>
                <w:highlight w:val="none"/>
              </w:rPr>
            </w:pPr>
          </w:p>
        </w:tc>
        <w:tc>
          <w:tcPr>
            <w:tcW w:w="1082" w:type="pct"/>
            <w:tcBorders>
              <w:top w:val="single" w:color="auto" w:sz="4" w:space="0"/>
              <w:left w:val="single" w:color="auto" w:sz="4" w:space="0"/>
              <w:bottom w:val="single" w:color="auto" w:sz="4" w:space="0"/>
              <w:right w:val="single" w:color="auto" w:sz="4" w:space="0"/>
              <w:tl2br w:val="nil"/>
              <w:tr2bl w:val="nil"/>
            </w:tcBorders>
          </w:tcPr>
          <w:p w14:paraId="3FD2F9C2">
            <w:pPr>
              <w:spacing w:line="360" w:lineRule="auto"/>
              <w:rPr>
                <w:rFonts w:hint="eastAsia"/>
                <w:highlight w:val="none"/>
              </w:rPr>
            </w:pPr>
          </w:p>
        </w:tc>
        <w:tc>
          <w:tcPr>
            <w:tcW w:w="999" w:type="pct"/>
            <w:tcBorders>
              <w:top w:val="single" w:color="auto" w:sz="4" w:space="0"/>
              <w:left w:val="single" w:color="auto" w:sz="4" w:space="0"/>
              <w:bottom w:val="single" w:color="auto" w:sz="4" w:space="0"/>
              <w:right w:val="single" w:color="auto" w:sz="4" w:space="0"/>
              <w:tl2br w:val="nil"/>
              <w:tr2bl w:val="nil"/>
            </w:tcBorders>
          </w:tcPr>
          <w:p w14:paraId="1BC456D4">
            <w:pPr>
              <w:spacing w:line="360" w:lineRule="auto"/>
              <w:rPr>
                <w:rFonts w:hint="eastAsia"/>
                <w:highlight w:val="none"/>
              </w:rPr>
            </w:pPr>
          </w:p>
        </w:tc>
        <w:tc>
          <w:tcPr>
            <w:tcW w:w="999" w:type="pct"/>
            <w:tcBorders>
              <w:top w:val="single" w:color="auto" w:sz="4" w:space="0"/>
              <w:left w:val="single" w:color="auto" w:sz="4" w:space="0"/>
              <w:bottom w:val="single" w:color="auto" w:sz="4" w:space="0"/>
              <w:right w:val="single" w:color="auto" w:sz="4" w:space="0"/>
              <w:tl2br w:val="nil"/>
              <w:tr2bl w:val="nil"/>
            </w:tcBorders>
          </w:tcPr>
          <w:p w14:paraId="5643C434">
            <w:pPr>
              <w:spacing w:line="360" w:lineRule="auto"/>
              <w:rPr>
                <w:rFonts w:hint="eastAsia"/>
                <w:highlight w:val="none"/>
              </w:rPr>
            </w:pPr>
          </w:p>
        </w:tc>
      </w:tr>
      <w:tr w14:paraId="3C9A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pct"/>
            <w:tcBorders>
              <w:top w:val="single" w:color="auto" w:sz="4" w:space="0"/>
              <w:left w:val="single" w:color="auto" w:sz="4" w:space="0"/>
              <w:bottom w:val="single" w:color="auto" w:sz="4" w:space="0"/>
              <w:right w:val="single" w:color="auto" w:sz="4" w:space="0"/>
              <w:tl2br w:val="nil"/>
              <w:tr2bl w:val="nil"/>
            </w:tcBorders>
          </w:tcPr>
          <w:p w14:paraId="01118DCD">
            <w:pPr>
              <w:spacing w:line="360" w:lineRule="auto"/>
              <w:rPr>
                <w:rFonts w:hint="eastAsia"/>
                <w:highlight w:val="none"/>
              </w:rPr>
            </w:pPr>
          </w:p>
        </w:tc>
        <w:tc>
          <w:tcPr>
            <w:tcW w:w="371" w:type="pct"/>
            <w:tcBorders>
              <w:top w:val="single" w:color="auto" w:sz="4" w:space="0"/>
              <w:left w:val="single" w:color="auto" w:sz="4" w:space="0"/>
              <w:bottom w:val="single" w:color="auto" w:sz="4" w:space="0"/>
              <w:right w:val="single" w:color="auto" w:sz="4" w:space="0"/>
              <w:tl2br w:val="nil"/>
              <w:tr2bl w:val="nil"/>
            </w:tcBorders>
          </w:tcPr>
          <w:p w14:paraId="1979912C">
            <w:pPr>
              <w:spacing w:line="360" w:lineRule="auto"/>
              <w:rPr>
                <w:rFonts w:hint="eastAsia"/>
                <w:highlight w:val="none"/>
              </w:rPr>
            </w:pPr>
          </w:p>
        </w:tc>
        <w:tc>
          <w:tcPr>
            <w:tcW w:w="858" w:type="pct"/>
            <w:tcBorders>
              <w:top w:val="single" w:color="auto" w:sz="4" w:space="0"/>
              <w:left w:val="single" w:color="auto" w:sz="4" w:space="0"/>
              <w:bottom w:val="single" w:color="auto" w:sz="4" w:space="0"/>
              <w:right w:val="single" w:color="auto" w:sz="4" w:space="0"/>
              <w:tl2br w:val="nil"/>
              <w:tr2bl w:val="nil"/>
            </w:tcBorders>
          </w:tcPr>
          <w:p w14:paraId="67C2FD97">
            <w:pPr>
              <w:spacing w:line="360" w:lineRule="auto"/>
              <w:rPr>
                <w:rFonts w:hint="eastAsia"/>
                <w:highlight w:val="none"/>
              </w:rPr>
            </w:pPr>
          </w:p>
        </w:tc>
        <w:tc>
          <w:tcPr>
            <w:tcW w:w="1082" w:type="pct"/>
            <w:tcBorders>
              <w:top w:val="single" w:color="auto" w:sz="4" w:space="0"/>
              <w:left w:val="single" w:color="auto" w:sz="4" w:space="0"/>
              <w:bottom w:val="single" w:color="auto" w:sz="4" w:space="0"/>
              <w:right w:val="single" w:color="auto" w:sz="4" w:space="0"/>
              <w:tl2br w:val="nil"/>
              <w:tr2bl w:val="nil"/>
            </w:tcBorders>
          </w:tcPr>
          <w:p w14:paraId="3E8768AD">
            <w:pPr>
              <w:spacing w:line="360" w:lineRule="auto"/>
              <w:rPr>
                <w:rFonts w:hint="eastAsia"/>
                <w:highlight w:val="none"/>
              </w:rPr>
            </w:pPr>
          </w:p>
        </w:tc>
        <w:tc>
          <w:tcPr>
            <w:tcW w:w="999" w:type="pct"/>
            <w:tcBorders>
              <w:top w:val="single" w:color="auto" w:sz="4" w:space="0"/>
              <w:left w:val="single" w:color="auto" w:sz="4" w:space="0"/>
              <w:bottom w:val="single" w:color="auto" w:sz="4" w:space="0"/>
              <w:right w:val="single" w:color="auto" w:sz="4" w:space="0"/>
              <w:tl2br w:val="nil"/>
              <w:tr2bl w:val="nil"/>
            </w:tcBorders>
          </w:tcPr>
          <w:p w14:paraId="6BC79CB2">
            <w:pPr>
              <w:spacing w:line="360" w:lineRule="auto"/>
              <w:rPr>
                <w:rFonts w:hint="eastAsia"/>
                <w:highlight w:val="none"/>
              </w:rPr>
            </w:pPr>
          </w:p>
        </w:tc>
        <w:tc>
          <w:tcPr>
            <w:tcW w:w="999" w:type="pct"/>
            <w:tcBorders>
              <w:top w:val="single" w:color="auto" w:sz="4" w:space="0"/>
              <w:left w:val="single" w:color="auto" w:sz="4" w:space="0"/>
              <w:bottom w:val="single" w:color="auto" w:sz="4" w:space="0"/>
              <w:right w:val="single" w:color="auto" w:sz="4" w:space="0"/>
              <w:tl2br w:val="nil"/>
              <w:tr2bl w:val="nil"/>
            </w:tcBorders>
          </w:tcPr>
          <w:p w14:paraId="63D34F6C">
            <w:pPr>
              <w:spacing w:line="360" w:lineRule="auto"/>
              <w:rPr>
                <w:rFonts w:hint="eastAsia"/>
                <w:highlight w:val="none"/>
              </w:rPr>
            </w:pPr>
          </w:p>
        </w:tc>
      </w:tr>
    </w:tbl>
    <w:p w14:paraId="1C5DFAD4">
      <w:pPr>
        <w:spacing w:line="360" w:lineRule="auto"/>
        <w:rPr>
          <w:rFonts w:hint="eastAsia"/>
          <w:highlight w:val="none"/>
        </w:rPr>
      </w:pPr>
    </w:p>
    <w:p w14:paraId="5C6C5847">
      <w:pPr>
        <w:pStyle w:val="11"/>
        <w:spacing w:line="360" w:lineRule="auto"/>
        <w:rPr>
          <w:rFonts w:hint="eastAsia"/>
          <w:szCs w:val="24"/>
          <w:highlight w:val="none"/>
        </w:rPr>
      </w:pPr>
    </w:p>
    <w:p w14:paraId="43837DA6">
      <w:pPr>
        <w:rPr>
          <w:rFonts w:hint="eastAsia"/>
          <w:highlight w:val="none"/>
        </w:rPr>
      </w:pPr>
      <w:r>
        <w:rPr>
          <w:rFonts w:hint="eastAsia"/>
          <w:highlight w:val="none"/>
        </w:rPr>
        <w:br w:type="page"/>
      </w:r>
    </w:p>
    <w:p w14:paraId="26782BB0">
      <w:pPr>
        <w:spacing w:line="360" w:lineRule="auto"/>
        <w:jc w:val="center"/>
        <w:rPr>
          <w:rFonts w:ascii="Arial" w:hAnsi="Arial"/>
          <w:b/>
          <w:sz w:val="30"/>
          <w:szCs w:val="20"/>
          <w:highlight w:val="none"/>
        </w:rPr>
      </w:pPr>
      <w:r>
        <w:rPr>
          <w:rFonts w:hint="eastAsia" w:ascii="Arial" w:hAnsi="Arial"/>
          <w:b/>
          <w:sz w:val="30"/>
          <w:szCs w:val="20"/>
          <w:highlight w:val="none"/>
        </w:rPr>
        <w:t>七、拟投入本项目材料设备情况表</w:t>
      </w:r>
    </w:p>
    <w:p w14:paraId="6B30C55E">
      <w:pPr>
        <w:spacing w:line="360" w:lineRule="auto"/>
        <w:rPr>
          <w:rFonts w:hint="eastAsia"/>
          <w:highlight w:val="none"/>
        </w:rPr>
      </w:pPr>
      <w:r>
        <w:rPr>
          <w:rFonts w:hint="eastAsia"/>
          <w:highlight w:val="none"/>
        </w:rPr>
        <w:t>项目名称：</w:t>
      </w:r>
    </w:p>
    <w:p w14:paraId="49109D76">
      <w:pPr>
        <w:spacing w:line="360" w:lineRule="auto"/>
        <w:rPr>
          <w:rFonts w:hint="eastAsia"/>
          <w:highlight w:val="none"/>
        </w:rPr>
      </w:pPr>
    </w:p>
    <w:tbl>
      <w:tblPr>
        <w:tblStyle w:val="37"/>
        <w:tblW w:w="984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553"/>
        <w:gridCol w:w="1254"/>
        <w:gridCol w:w="2350"/>
        <w:gridCol w:w="2104"/>
        <w:gridCol w:w="1893"/>
      </w:tblGrid>
      <w:tr w14:paraId="59F24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95" w:type="dxa"/>
            <w:vAlign w:val="center"/>
          </w:tcPr>
          <w:p w14:paraId="1D758A84">
            <w:pPr>
              <w:spacing w:line="360" w:lineRule="auto"/>
              <w:jc w:val="center"/>
              <w:rPr>
                <w:rFonts w:hint="eastAsia"/>
                <w:highlight w:val="none"/>
              </w:rPr>
            </w:pPr>
            <w:r>
              <w:rPr>
                <w:rFonts w:hint="eastAsia"/>
                <w:highlight w:val="none"/>
              </w:rPr>
              <w:t>序号</w:t>
            </w:r>
          </w:p>
        </w:tc>
        <w:tc>
          <w:tcPr>
            <w:tcW w:w="1553" w:type="dxa"/>
            <w:vAlign w:val="center"/>
          </w:tcPr>
          <w:p w14:paraId="414FAAD7">
            <w:pPr>
              <w:spacing w:line="360" w:lineRule="auto"/>
              <w:jc w:val="center"/>
              <w:rPr>
                <w:rFonts w:hint="eastAsia"/>
                <w:highlight w:val="none"/>
              </w:rPr>
            </w:pPr>
            <w:r>
              <w:rPr>
                <w:rFonts w:hint="eastAsia"/>
                <w:highlight w:val="none"/>
              </w:rPr>
              <w:t>编号</w:t>
            </w:r>
          </w:p>
        </w:tc>
        <w:tc>
          <w:tcPr>
            <w:tcW w:w="1254" w:type="dxa"/>
            <w:vAlign w:val="center"/>
          </w:tcPr>
          <w:p w14:paraId="2859DF7C">
            <w:pPr>
              <w:spacing w:line="360" w:lineRule="auto"/>
              <w:jc w:val="center"/>
              <w:rPr>
                <w:rFonts w:hint="eastAsia"/>
                <w:highlight w:val="none"/>
              </w:rPr>
            </w:pPr>
            <w:r>
              <w:rPr>
                <w:rFonts w:hint="eastAsia"/>
                <w:highlight w:val="none"/>
              </w:rPr>
              <w:t>品牌</w:t>
            </w:r>
          </w:p>
        </w:tc>
        <w:tc>
          <w:tcPr>
            <w:tcW w:w="2350" w:type="dxa"/>
            <w:vAlign w:val="center"/>
          </w:tcPr>
          <w:p w14:paraId="1ADF68AC">
            <w:pPr>
              <w:spacing w:line="360" w:lineRule="auto"/>
              <w:jc w:val="center"/>
              <w:rPr>
                <w:rFonts w:hint="eastAsia"/>
                <w:highlight w:val="none"/>
              </w:rPr>
            </w:pPr>
            <w:r>
              <w:rPr>
                <w:rFonts w:hint="eastAsia"/>
                <w:highlight w:val="none"/>
              </w:rPr>
              <w:t>材料设备名称</w:t>
            </w:r>
          </w:p>
        </w:tc>
        <w:tc>
          <w:tcPr>
            <w:tcW w:w="2104" w:type="dxa"/>
            <w:vAlign w:val="center"/>
          </w:tcPr>
          <w:p w14:paraId="07BF530C">
            <w:pPr>
              <w:spacing w:line="360" w:lineRule="auto"/>
              <w:jc w:val="center"/>
              <w:rPr>
                <w:rFonts w:hint="eastAsia"/>
                <w:highlight w:val="none"/>
              </w:rPr>
            </w:pPr>
            <w:r>
              <w:rPr>
                <w:rFonts w:hint="eastAsia"/>
                <w:highlight w:val="none"/>
              </w:rPr>
              <w:t>型号规格</w:t>
            </w:r>
          </w:p>
        </w:tc>
        <w:tc>
          <w:tcPr>
            <w:tcW w:w="1893" w:type="dxa"/>
            <w:vAlign w:val="center"/>
          </w:tcPr>
          <w:p w14:paraId="51E1AE8D">
            <w:pPr>
              <w:spacing w:line="360" w:lineRule="auto"/>
              <w:jc w:val="center"/>
              <w:rPr>
                <w:rFonts w:hint="eastAsia"/>
                <w:highlight w:val="none"/>
              </w:rPr>
            </w:pPr>
            <w:r>
              <w:rPr>
                <w:rFonts w:hint="eastAsia"/>
                <w:highlight w:val="none"/>
              </w:rPr>
              <w:t>备注（用途）</w:t>
            </w:r>
          </w:p>
        </w:tc>
      </w:tr>
      <w:tr w14:paraId="097FB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95" w:type="dxa"/>
            <w:vAlign w:val="center"/>
          </w:tcPr>
          <w:p w14:paraId="3E2B23A3">
            <w:pPr>
              <w:spacing w:line="360" w:lineRule="auto"/>
              <w:jc w:val="center"/>
              <w:rPr>
                <w:rFonts w:hint="eastAsia"/>
                <w:highlight w:val="none"/>
              </w:rPr>
            </w:pPr>
            <w:r>
              <w:rPr>
                <w:rFonts w:hint="eastAsia"/>
                <w:highlight w:val="none"/>
              </w:rPr>
              <w:t>1</w:t>
            </w:r>
          </w:p>
        </w:tc>
        <w:tc>
          <w:tcPr>
            <w:tcW w:w="1553" w:type="dxa"/>
            <w:vAlign w:val="center"/>
          </w:tcPr>
          <w:p w14:paraId="1802F2AB">
            <w:pPr>
              <w:spacing w:line="360" w:lineRule="auto"/>
              <w:jc w:val="center"/>
              <w:rPr>
                <w:rFonts w:hint="eastAsia"/>
                <w:highlight w:val="none"/>
              </w:rPr>
            </w:pPr>
          </w:p>
        </w:tc>
        <w:tc>
          <w:tcPr>
            <w:tcW w:w="1254" w:type="dxa"/>
            <w:vAlign w:val="center"/>
          </w:tcPr>
          <w:p w14:paraId="4424446A">
            <w:pPr>
              <w:spacing w:line="360" w:lineRule="auto"/>
              <w:jc w:val="center"/>
              <w:rPr>
                <w:rFonts w:hint="eastAsia"/>
                <w:highlight w:val="none"/>
              </w:rPr>
            </w:pPr>
          </w:p>
        </w:tc>
        <w:tc>
          <w:tcPr>
            <w:tcW w:w="2350" w:type="dxa"/>
            <w:vAlign w:val="center"/>
          </w:tcPr>
          <w:p w14:paraId="3E617C7C">
            <w:pPr>
              <w:spacing w:line="360" w:lineRule="auto"/>
              <w:jc w:val="center"/>
              <w:rPr>
                <w:rFonts w:hint="eastAsia"/>
                <w:highlight w:val="none"/>
              </w:rPr>
            </w:pPr>
          </w:p>
        </w:tc>
        <w:tc>
          <w:tcPr>
            <w:tcW w:w="2104" w:type="dxa"/>
            <w:vAlign w:val="center"/>
          </w:tcPr>
          <w:p w14:paraId="3CF1830E">
            <w:pPr>
              <w:spacing w:line="360" w:lineRule="auto"/>
              <w:jc w:val="center"/>
              <w:rPr>
                <w:rFonts w:hint="eastAsia"/>
                <w:highlight w:val="none"/>
              </w:rPr>
            </w:pPr>
          </w:p>
        </w:tc>
        <w:tc>
          <w:tcPr>
            <w:tcW w:w="1893" w:type="dxa"/>
            <w:vAlign w:val="center"/>
          </w:tcPr>
          <w:p w14:paraId="183D7A0B">
            <w:pPr>
              <w:spacing w:line="360" w:lineRule="auto"/>
              <w:jc w:val="center"/>
              <w:rPr>
                <w:rFonts w:hint="eastAsia"/>
                <w:highlight w:val="none"/>
              </w:rPr>
            </w:pPr>
          </w:p>
        </w:tc>
      </w:tr>
      <w:tr w14:paraId="15E73D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95" w:type="dxa"/>
            <w:vAlign w:val="center"/>
          </w:tcPr>
          <w:p w14:paraId="037D2024">
            <w:pPr>
              <w:spacing w:line="360" w:lineRule="auto"/>
              <w:jc w:val="center"/>
              <w:rPr>
                <w:rFonts w:hint="eastAsia"/>
                <w:highlight w:val="none"/>
              </w:rPr>
            </w:pPr>
            <w:r>
              <w:rPr>
                <w:rFonts w:hint="eastAsia"/>
                <w:highlight w:val="none"/>
              </w:rPr>
              <w:t>2</w:t>
            </w:r>
          </w:p>
        </w:tc>
        <w:tc>
          <w:tcPr>
            <w:tcW w:w="1553" w:type="dxa"/>
            <w:vAlign w:val="center"/>
          </w:tcPr>
          <w:p w14:paraId="7246AA3D">
            <w:pPr>
              <w:spacing w:line="360" w:lineRule="auto"/>
              <w:jc w:val="center"/>
              <w:rPr>
                <w:rFonts w:hint="eastAsia"/>
                <w:highlight w:val="none"/>
              </w:rPr>
            </w:pPr>
          </w:p>
        </w:tc>
        <w:tc>
          <w:tcPr>
            <w:tcW w:w="1254" w:type="dxa"/>
            <w:vAlign w:val="center"/>
          </w:tcPr>
          <w:p w14:paraId="1BFDE9F6">
            <w:pPr>
              <w:spacing w:line="360" w:lineRule="auto"/>
              <w:jc w:val="center"/>
              <w:rPr>
                <w:rFonts w:hint="eastAsia"/>
                <w:highlight w:val="none"/>
              </w:rPr>
            </w:pPr>
          </w:p>
        </w:tc>
        <w:tc>
          <w:tcPr>
            <w:tcW w:w="2350" w:type="dxa"/>
            <w:vAlign w:val="center"/>
          </w:tcPr>
          <w:p w14:paraId="77054952">
            <w:pPr>
              <w:spacing w:line="360" w:lineRule="auto"/>
              <w:jc w:val="center"/>
              <w:rPr>
                <w:rFonts w:hint="eastAsia"/>
                <w:highlight w:val="none"/>
              </w:rPr>
            </w:pPr>
          </w:p>
        </w:tc>
        <w:tc>
          <w:tcPr>
            <w:tcW w:w="2104" w:type="dxa"/>
            <w:vAlign w:val="center"/>
          </w:tcPr>
          <w:p w14:paraId="20DACF85">
            <w:pPr>
              <w:spacing w:line="360" w:lineRule="auto"/>
              <w:jc w:val="center"/>
              <w:rPr>
                <w:rFonts w:hint="eastAsia"/>
                <w:highlight w:val="none"/>
              </w:rPr>
            </w:pPr>
          </w:p>
        </w:tc>
        <w:tc>
          <w:tcPr>
            <w:tcW w:w="1893" w:type="dxa"/>
            <w:vAlign w:val="center"/>
          </w:tcPr>
          <w:p w14:paraId="0557D732">
            <w:pPr>
              <w:spacing w:line="360" w:lineRule="auto"/>
              <w:jc w:val="center"/>
              <w:rPr>
                <w:rFonts w:hint="eastAsia"/>
                <w:highlight w:val="none"/>
              </w:rPr>
            </w:pPr>
          </w:p>
        </w:tc>
      </w:tr>
      <w:tr w14:paraId="010299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95" w:type="dxa"/>
            <w:vAlign w:val="center"/>
          </w:tcPr>
          <w:p w14:paraId="6326BBC3">
            <w:pPr>
              <w:spacing w:line="360" w:lineRule="auto"/>
              <w:jc w:val="center"/>
              <w:rPr>
                <w:rFonts w:hint="eastAsia"/>
                <w:highlight w:val="none"/>
              </w:rPr>
            </w:pPr>
            <w:r>
              <w:rPr>
                <w:rFonts w:hint="eastAsia"/>
                <w:highlight w:val="none"/>
              </w:rPr>
              <w:t>3</w:t>
            </w:r>
          </w:p>
        </w:tc>
        <w:tc>
          <w:tcPr>
            <w:tcW w:w="1553" w:type="dxa"/>
            <w:vAlign w:val="center"/>
          </w:tcPr>
          <w:p w14:paraId="5FFE020D">
            <w:pPr>
              <w:spacing w:line="360" w:lineRule="auto"/>
              <w:jc w:val="center"/>
              <w:rPr>
                <w:rFonts w:hint="eastAsia"/>
                <w:highlight w:val="none"/>
              </w:rPr>
            </w:pPr>
          </w:p>
        </w:tc>
        <w:tc>
          <w:tcPr>
            <w:tcW w:w="1254" w:type="dxa"/>
            <w:vAlign w:val="center"/>
          </w:tcPr>
          <w:p w14:paraId="2EA1A13D">
            <w:pPr>
              <w:spacing w:line="360" w:lineRule="auto"/>
              <w:jc w:val="center"/>
              <w:rPr>
                <w:rFonts w:hint="eastAsia"/>
                <w:highlight w:val="none"/>
              </w:rPr>
            </w:pPr>
          </w:p>
        </w:tc>
        <w:tc>
          <w:tcPr>
            <w:tcW w:w="2350" w:type="dxa"/>
            <w:vAlign w:val="center"/>
          </w:tcPr>
          <w:p w14:paraId="09B365F3">
            <w:pPr>
              <w:spacing w:line="360" w:lineRule="auto"/>
              <w:jc w:val="center"/>
              <w:rPr>
                <w:rFonts w:hint="eastAsia"/>
                <w:highlight w:val="none"/>
              </w:rPr>
            </w:pPr>
          </w:p>
        </w:tc>
        <w:tc>
          <w:tcPr>
            <w:tcW w:w="2104" w:type="dxa"/>
            <w:vAlign w:val="center"/>
          </w:tcPr>
          <w:p w14:paraId="425AC503">
            <w:pPr>
              <w:spacing w:line="360" w:lineRule="auto"/>
              <w:jc w:val="center"/>
              <w:rPr>
                <w:rFonts w:hint="eastAsia"/>
                <w:highlight w:val="none"/>
              </w:rPr>
            </w:pPr>
          </w:p>
        </w:tc>
        <w:tc>
          <w:tcPr>
            <w:tcW w:w="1893" w:type="dxa"/>
            <w:vAlign w:val="center"/>
          </w:tcPr>
          <w:p w14:paraId="2F44E499">
            <w:pPr>
              <w:spacing w:line="360" w:lineRule="auto"/>
              <w:jc w:val="center"/>
              <w:rPr>
                <w:rFonts w:hint="eastAsia"/>
                <w:highlight w:val="none"/>
              </w:rPr>
            </w:pPr>
          </w:p>
        </w:tc>
      </w:tr>
      <w:tr w14:paraId="2BC5C2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95" w:type="dxa"/>
            <w:vAlign w:val="center"/>
          </w:tcPr>
          <w:p w14:paraId="5BCC5302">
            <w:pPr>
              <w:spacing w:line="360" w:lineRule="auto"/>
              <w:jc w:val="center"/>
              <w:rPr>
                <w:rFonts w:hint="eastAsia"/>
                <w:highlight w:val="none"/>
              </w:rPr>
            </w:pPr>
            <w:r>
              <w:rPr>
                <w:rFonts w:hint="eastAsia"/>
                <w:highlight w:val="none"/>
              </w:rPr>
              <w:t>4</w:t>
            </w:r>
          </w:p>
        </w:tc>
        <w:tc>
          <w:tcPr>
            <w:tcW w:w="1553" w:type="dxa"/>
            <w:vAlign w:val="center"/>
          </w:tcPr>
          <w:p w14:paraId="4899634C">
            <w:pPr>
              <w:spacing w:line="360" w:lineRule="auto"/>
              <w:jc w:val="center"/>
              <w:rPr>
                <w:rFonts w:hint="eastAsia"/>
                <w:highlight w:val="none"/>
              </w:rPr>
            </w:pPr>
          </w:p>
        </w:tc>
        <w:tc>
          <w:tcPr>
            <w:tcW w:w="1254" w:type="dxa"/>
            <w:vAlign w:val="center"/>
          </w:tcPr>
          <w:p w14:paraId="3F832B4F">
            <w:pPr>
              <w:spacing w:line="360" w:lineRule="auto"/>
              <w:jc w:val="center"/>
              <w:rPr>
                <w:rFonts w:hint="eastAsia"/>
                <w:highlight w:val="none"/>
              </w:rPr>
            </w:pPr>
          </w:p>
        </w:tc>
        <w:tc>
          <w:tcPr>
            <w:tcW w:w="2350" w:type="dxa"/>
            <w:vAlign w:val="center"/>
          </w:tcPr>
          <w:p w14:paraId="2621413B">
            <w:pPr>
              <w:spacing w:line="360" w:lineRule="auto"/>
              <w:jc w:val="center"/>
              <w:rPr>
                <w:rFonts w:hint="eastAsia"/>
                <w:highlight w:val="none"/>
              </w:rPr>
            </w:pPr>
          </w:p>
        </w:tc>
        <w:tc>
          <w:tcPr>
            <w:tcW w:w="2104" w:type="dxa"/>
            <w:vAlign w:val="center"/>
          </w:tcPr>
          <w:p w14:paraId="64D02B81">
            <w:pPr>
              <w:spacing w:line="360" w:lineRule="auto"/>
              <w:jc w:val="center"/>
              <w:rPr>
                <w:rFonts w:hint="eastAsia"/>
                <w:highlight w:val="none"/>
              </w:rPr>
            </w:pPr>
          </w:p>
        </w:tc>
        <w:tc>
          <w:tcPr>
            <w:tcW w:w="1893" w:type="dxa"/>
            <w:vAlign w:val="center"/>
          </w:tcPr>
          <w:p w14:paraId="2121E11C">
            <w:pPr>
              <w:spacing w:line="360" w:lineRule="auto"/>
              <w:jc w:val="center"/>
              <w:rPr>
                <w:rFonts w:hint="eastAsia"/>
                <w:highlight w:val="none"/>
              </w:rPr>
            </w:pPr>
          </w:p>
        </w:tc>
      </w:tr>
      <w:tr w14:paraId="2DB3EA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95" w:type="dxa"/>
            <w:vAlign w:val="center"/>
          </w:tcPr>
          <w:p w14:paraId="5CC614E2">
            <w:pPr>
              <w:spacing w:line="360" w:lineRule="auto"/>
              <w:jc w:val="center"/>
              <w:rPr>
                <w:rFonts w:hint="eastAsia"/>
                <w:highlight w:val="none"/>
              </w:rPr>
            </w:pPr>
            <w:r>
              <w:rPr>
                <w:rFonts w:hint="eastAsia"/>
                <w:highlight w:val="none"/>
              </w:rPr>
              <w:t>5</w:t>
            </w:r>
          </w:p>
        </w:tc>
        <w:tc>
          <w:tcPr>
            <w:tcW w:w="1553" w:type="dxa"/>
            <w:vAlign w:val="center"/>
          </w:tcPr>
          <w:p w14:paraId="361C04A2">
            <w:pPr>
              <w:spacing w:line="360" w:lineRule="auto"/>
              <w:jc w:val="center"/>
              <w:rPr>
                <w:rFonts w:hint="eastAsia"/>
                <w:highlight w:val="none"/>
              </w:rPr>
            </w:pPr>
          </w:p>
        </w:tc>
        <w:tc>
          <w:tcPr>
            <w:tcW w:w="1254" w:type="dxa"/>
            <w:vAlign w:val="center"/>
          </w:tcPr>
          <w:p w14:paraId="6BEA8F38">
            <w:pPr>
              <w:spacing w:line="360" w:lineRule="auto"/>
              <w:jc w:val="center"/>
              <w:rPr>
                <w:rFonts w:hint="eastAsia"/>
                <w:highlight w:val="none"/>
              </w:rPr>
            </w:pPr>
          </w:p>
        </w:tc>
        <w:tc>
          <w:tcPr>
            <w:tcW w:w="2350" w:type="dxa"/>
            <w:vAlign w:val="center"/>
          </w:tcPr>
          <w:p w14:paraId="2085456A">
            <w:pPr>
              <w:spacing w:line="360" w:lineRule="auto"/>
              <w:jc w:val="center"/>
              <w:rPr>
                <w:rFonts w:hint="eastAsia"/>
                <w:highlight w:val="none"/>
              </w:rPr>
            </w:pPr>
          </w:p>
        </w:tc>
        <w:tc>
          <w:tcPr>
            <w:tcW w:w="2104" w:type="dxa"/>
            <w:vAlign w:val="center"/>
          </w:tcPr>
          <w:p w14:paraId="33C4C6E7">
            <w:pPr>
              <w:spacing w:line="360" w:lineRule="auto"/>
              <w:jc w:val="center"/>
              <w:rPr>
                <w:rFonts w:hint="eastAsia"/>
                <w:highlight w:val="none"/>
              </w:rPr>
            </w:pPr>
          </w:p>
        </w:tc>
        <w:tc>
          <w:tcPr>
            <w:tcW w:w="1893" w:type="dxa"/>
            <w:vAlign w:val="center"/>
          </w:tcPr>
          <w:p w14:paraId="1F0F6C21">
            <w:pPr>
              <w:spacing w:line="360" w:lineRule="auto"/>
              <w:jc w:val="center"/>
              <w:rPr>
                <w:rFonts w:hint="eastAsia"/>
                <w:highlight w:val="none"/>
              </w:rPr>
            </w:pPr>
          </w:p>
        </w:tc>
      </w:tr>
      <w:tr w14:paraId="69DFC0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95" w:type="dxa"/>
            <w:vAlign w:val="center"/>
          </w:tcPr>
          <w:p w14:paraId="6A2AD4E6">
            <w:pPr>
              <w:spacing w:line="360" w:lineRule="auto"/>
              <w:jc w:val="center"/>
              <w:rPr>
                <w:rFonts w:hint="eastAsia"/>
                <w:highlight w:val="none"/>
              </w:rPr>
            </w:pPr>
            <w:r>
              <w:rPr>
                <w:rFonts w:hint="eastAsia"/>
                <w:highlight w:val="none"/>
              </w:rPr>
              <w:t>6</w:t>
            </w:r>
          </w:p>
        </w:tc>
        <w:tc>
          <w:tcPr>
            <w:tcW w:w="1553" w:type="dxa"/>
            <w:vAlign w:val="center"/>
          </w:tcPr>
          <w:p w14:paraId="083669A1">
            <w:pPr>
              <w:spacing w:line="360" w:lineRule="auto"/>
              <w:jc w:val="center"/>
              <w:rPr>
                <w:rFonts w:hint="eastAsia"/>
                <w:highlight w:val="none"/>
              </w:rPr>
            </w:pPr>
          </w:p>
        </w:tc>
        <w:tc>
          <w:tcPr>
            <w:tcW w:w="1254" w:type="dxa"/>
            <w:vAlign w:val="center"/>
          </w:tcPr>
          <w:p w14:paraId="2A7EF272">
            <w:pPr>
              <w:spacing w:line="360" w:lineRule="auto"/>
              <w:jc w:val="center"/>
              <w:rPr>
                <w:rFonts w:hint="eastAsia"/>
                <w:highlight w:val="none"/>
              </w:rPr>
            </w:pPr>
          </w:p>
        </w:tc>
        <w:tc>
          <w:tcPr>
            <w:tcW w:w="2350" w:type="dxa"/>
            <w:vAlign w:val="center"/>
          </w:tcPr>
          <w:p w14:paraId="6327D8A7">
            <w:pPr>
              <w:spacing w:line="360" w:lineRule="auto"/>
              <w:jc w:val="center"/>
              <w:rPr>
                <w:rFonts w:hint="eastAsia"/>
                <w:highlight w:val="none"/>
              </w:rPr>
            </w:pPr>
          </w:p>
        </w:tc>
        <w:tc>
          <w:tcPr>
            <w:tcW w:w="2104" w:type="dxa"/>
            <w:vAlign w:val="center"/>
          </w:tcPr>
          <w:p w14:paraId="0AAF6553">
            <w:pPr>
              <w:spacing w:line="360" w:lineRule="auto"/>
              <w:jc w:val="center"/>
              <w:rPr>
                <w:rFonts w:hint="eastAsia"/>
                <w:highlight w:val="none"/>
              </w:rPr>
            </w:pPr>
          </w:p>
        </w:tc>
        <w:tc>
          <w:tcPr>
            <w:tcW w:w="1893" w:type="dxa"/>
            <w:vAlign w:val="center"/>
          </w:tcPr>
          <w:p w14:paraId="05CECECA">
            <w:pPr>
              <w:spacing w:line="360" w:lineRule="auto"/>
              <w:jc w:val="center"/>
              <w:rPr>
                <w:rFonts w:hint="eastAsia"/>
                <w:highlight w:val="none"/>
              </w:rPr>
            </w:pPr>
          </w:p>
        </w:tc>
      </w:tr>
      <w:tr w14:paraId="173431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95" w:type="dxa"/>
            <w:vAlign w:val="center"/>
          </w:tcPr>
          <w:p w14:paraId="47DF18D0">
            <w:pPr>
              <w:spacing w:line="360" w:lineRule="auto"/>
              <w:jc w:val="center"/>
              <w:rPr>
                <w:rFonts w:hint="eastAsia"/>
                <w:highlight w:val="none"/>
              </w:rPr>
            </w:pPr>
            <w:r>
              <w:rPr>
                <w:rFonts w:hint="eastAsia"/>
                <w:highlight w:val="none"/>
              </w:rPr>
              <w:t>7</w:t>
            </w:r>
          </w:p>
        </w:tc>
        <w:tc>
          <w:tcPr>
            <w:tcW w:w="1553" w:type="dxa"/>
            <w:vAlign w:val="center"/>
          </w:tcPr>
          <w:p w14:paraId="54C7BAEE">
            <w:pPr>
              <w:spacing w:line="360" w:lineRule="auto"/>
              <w:jc w:val="center"/>
              <w:rPr>
                <w:rFonts w:hint="eastAsia"/>
                <w:highlight w:val="none"/>
              </w:rPr>
            </w:pPr>
          </w:p>
        </w:tc>
        <w:tc>
          <w:tcPr>
            <w:tcW w:w="1254" w:type="dxa"/>
            <w:vAlign w:val="center"/>
          </w:tcPr>
          <w:p w14:paraId="0D5B0E5C">
            <w:pPr>
              <w:spacing w:line="360" w:lineRule="auto"/>
              <w:jc w:val="center"/>
              <w:rPr>
                <w:rFonts w:hint="eastAsia"/>
                <w:highlight w:val="none"/>
              </w:rPr>
            </w:pPr>
          </w:p>
        </w:tc>
        <w:tc>
          <w:tcPr>
            <w:tcW w:w="2350" w:type="dxa"/>
            <w:vAlign w:val="center"/>
          </w:tcPr>
          <w:p w14:paraId="7942A75A">
            <w:pPr>
              <w:spacing w:line="360" w:lineRule="auto"/>
              <w:jc w:val="center"/>
              <w:rPr>
                <w:rFonts w:hint="eastAsia"/>
                <w:highlight w:val="none"/>
              </w:rPr>
            </w:pPr>
          </w:p>
        </w:tc>
        <w:tc>
          <w:tcPr>
            <w:tcW w:w="2104" w:type="dxa"/>
            <w:vAlign w:val="center"/>
          </w:tcPr>
          <w:p w14:paraId="0D1B0FED">
            <w:pPr>
              <w:spacing w:line="360" w:lineRule="auto"/>
              <w:jc w:val="center"/>
              <w:rPr>
                <w:rFonts w:hint="eastAsia"/>
                <w:highlight w:val="none"/>
              </w:rPr>
            </w:pPr>
          </w:p>
        </w:tc>
        <w:tc>
          <w:tcPr>
            <w:tcW w:w="1893" w:type="dxa"/>
            <w:vAlign w:val="center"/>
          </w:tcPr>
          <w:p w14:paraId="623E9DAF">
            <w:pPr>
              <w:spacing w:line="360" w:lineRule="auto"/>
              <w:jc w:val="center"/>
              <w:rPr>
                <w:rFonts w:hint="eastAsia"/>
                <w:highlight w:val="none"/>
              </w:rPr>
            </w:pPr>
          </w:p>
        </w:tc>
      </w:tr>
      <w:tr w14:paraId="44A647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95" w:type="dxa"/>
            <w:vAlign w:val="center"/>
          </w:tcPr>
          <w:p w14:paraId="4854DC19">
            <w:pPr>
              <w:spacing w:line="360" w:lineRule="auto"/>
              <w:jc w:val="center"/>
              <w:rPr>
                <w:rFonts w:hint="eastAsia"/>
                <w:highlight w:val="none"/>
              </w:rPr>
            </w:pPr>
            <w:r>
              <w:rPr>
                <w:rFonts w:hint="eastAsia"/>
                <w:highlight w:val="none"/>
              </w:rPr>
              <w:t>8</w:t>
            </w:r>
          </w:p>
        </w:tc>
        <w:tc>
          <w:tcPr>
            <w:tcW w:w="1553" w:type="dxa"/>
            <w:vAlign w:val="center"/>
          </w:tcPr>
          <w:p w14:paraId="7A8C8598">
            <w:pPr>
              <w:spacing w:line="360" w:lineRule="auto"/>
              <w:jc w:val="center"/>
              <w:rPr>
                <w:rFonts w:hint="eastAsia"/>
                <w:highlight w:val="none"/>
              </w:rPr>
            </w:pPr>
          </w:p>
        </w:tc>
        <w:tc>
          <w:tcPr>
            <w:tcW w:w="1254" w:type="dxa"/>
            <w:vAlign w:val="center"/>
          </w:tcPr>
          <w:p w14:paraId="7BEE023D">
            <w:pPr>
              <w:spacing w:line="360" w:lineRule="auto"/>
              <w:jc w:val="center"/>
              <w:rPr>
                <w:rFonts w:hint="eastAsia"/>
                <w:highlight w:val="none"/>
              </w:rPr>
            </w:pPr>
          </w:p>
        </w:tc>
        <w:tc>
          <w:tcPr>
            <w:tcW w:w="2350" w:type="dxa"/>
            <w:vAlign w:val="center"/>
          </w:tcPr>
          <w:p w14:paraId="74D8DF42">
            <w:pPr>
              <w:spacing w:line="360" w:lineRule="auto"/>
              <w:jc w:val="center"/>
              <w:rPr>
                <w:rFonts w:hint="eastAsia"/>
                <w:highlight w:val="none"/>
              </w:rPr>
            </w:pPr>
          </w:p>
        </w:tc>
        <w:tc>
          <w:tcPr>
            <w:tcW w:w="2104" w:type="dxa"/>
            <w:vAlign w:val="center"/>
          </w:tcPr>
          <w:p w14:paraId="3EF9E5FB">
            <w:pPr>
              <w:spacing w:line="360" w:lineRule="auto"/>
              <w:jc w:val="center"/>
              <w:rPr>
                <w:rFonts w:hint="eastAsia"/>
                <w:highlight w:val="none"/>
              </w:rPr>
            </w:pPr>
          </w:p>
        </w:tc>
        <w:tc>
          <w:tcPr>
            <w:tcW w:w="1893" w:type="dxa"/>
            <w:vAlign w:val="center"/>
          </w:tcPr>
          <w:p w14:paraId="13F8A388">
            <w:pPr>
              <w:spacing w:line="360" w:lineRule="auto"/>
              <w:jc w:val="center"/>
              <w:rPr>
                <w:rFonts w:hint="eastAsia"/>
                <w:highlight w:val="none"/>
              </w:rPr>
            </w:pPr>
          </w:p>
        </w:tc>
      </w:tr>
      <w:tr w14:paraId="2B145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95" w:type="dxa"/>
            <w:vAlign w:val="center"/>
          </w:tcPr>
          <w:p w14:paraId="3A161625">
            <w:pPr>
              <w:spacing w:line="360" w:lineRule="auto"/>
              <w:jc w:val="center"/>
              <w:rPr>
                <w:rFonts w:hint="eastAsia"/>
                <w:highlight w:val="none"/>
              </w:rPr>
            </w:pPr>
            <w:r>
              <w:rPr>
                <w:rFonts w:hint="eastAsia"/>
                <w:highlight w:val="none"/>
              </w:rPr>
              <w:t>9</w:t>
            </w:r>
          </w:p>
        </w:tc>
        <w:tc>
          <w:tcPr>
            <w:tcW w:w="1553" w:type="dxa"/>
            <w:vAlign w:val="center"/>
          </w:tcPr>
          <w:p w14:paraId="7C5C678C">
            <w:pPr>
              <w:spacing w:line="360" w:lineRule="auto"/>
              <w:jc w:val="center"/>
              <w:rPr>
                <w:rFonts w:hint="eastAsia"/>
                <w:highlight w:val="none"/>
              </w:rPr>
            </w:pPr>
          </w:p>
        </w:tc>
        <w:tc>
          <w:tcPr>
            <w:tcW w:w="1254" w:type="dxa"/>
            <w:vAlign w:val="center"/>
          </w:tcPr>
          <w:p w14:paraId="7FFD6B74">
            <w:pPr>
              <w:spacing w:line="360" w:lineRule="auto"/>
              <w:jc w:val="center"/>
              <w:rPr>
                <w:rFonts w:hint="eastAsia"/>
                <w:highlight w:val="none"/>
              </w:rPr>
            </w:pPr>
          </w:p>
        </w:tc>
        <w:tc>
          <w:tcPr>
            <w:tcW w:w="2350" w:type="dxa"/>
            <w:vAlign w:val="center"/>
          </w:tcPr>
          <w:p w14:paraId="38103C40">
            <w:pPr>
              <w:spacing w:line="360" w:lineRule="auto"/>
              <w:jc w:val="center"/>
              <w:rPr>
                <w:rFonts w:hint="eastAsia"/>
                <w:highlight w:val="none"/>
              </w:rPr>
            </w:pPr>
          </w:p>
        </w:tc>
        <w:tc>
          <w:tcPr>
            <w:tcW w:w="2104" w:type="dxa"/>
            <w:vAlign w:val="center"/>
          </w:tcPr>
          <w:p w14:paraId="61E42782">
            <w:pPr>
              <w:spacing w:line="360" w:lineRule="auto"/>
              <w:jc w:val="center"/>
              <w:rPr>
                <w:rFonts w:hint="eastAsia"/>
                <w:highlight w:val="none"/>
              </w:rPr>
            </w:pPr>
          </w:p>
        </w:tc>
        <w:tc>
          <w:tcPr>
            <w:tcW w:w="1893" w:type="dxa"/>
            <w:vAlign w:val="center"/>
          </w:tcPr>
          <w:p w14:paraId="08CC9247">
            <w:pPr>
              <w:spacing w:line="360" w:lineRule="auto"/>
              <w:jc w:val="center"/>
              <w:rPr>
                <w:rFonts w:hint="eastAsia"/>
                <w:highlight w:val="none"/>
              </w:rPr>
            </w:pPr>
          </w:p>
        </w:tc>
      </w:tr>
      <w:tr w14:paraId="37CCC7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95" w:type="dxa"/>
            <w:vAlign w:val="center"/>
          </w:tcPr>
          <w:p w14:paraId="47772AA7">
            <w:pPr>
              <w:spacing w:line="360" w:lineRule="auto"/>
              <w:jc w:val="center"/>
              <w:rPr>
                <w:rFonts w:hint="eastAsia"/>
                <w:highlight w:val="none"/>
              </w:rPr>
            </w:pPr>
            <w:r>
              <w:rPr>
                <w:rFonts w:hint="eastAsia"/>
                <w:highlight w:val="none"/>
              </w:rPr>
              <w:t>……</w:t>
            </w:r>
          </w:p>
        </w:tc>
        <w:tc>
          <w:tcPr>
            <w:tcW w:w="1553" w:type="dxa"/>
            <w:vAlign w:val="center"/>
          </w:tcPr>
          <w:p w14:paraId="41AC2534">
            <w:pPr>
              <w:spacing w:line="360" w:lineRule="auto"/>
              <w:jc w:val="center"/>
              <w:rPr>
                <w:rFonts w:hint="eastAsia"/>
                <w:highlight w:val="none"/>
              </w:rPr>
            </w:pPr>
          </w:p>
        </w:tc>
        <w:tc>
          <w:tcPr>
            <w:tcW w:w="1254" w:type="dxa"/>
            <w:vAlign w:val="center"/>
          </w:tcPr>
          <w:p w14:paraId="041C223F">
            <w:pPr>
              <w:spacing w:line="360" w:lineRule="auto"/>
              <w:jc w:val="center"/>
              <w:rPr>
                <w:rFonts w:hint="eastAsia"/>
                <w:highlight w:val="none"/>
              </w:rPr>
            </w:pPr>
          </w:p>
        </w:tc>
        <w:tc>
          <w:tcPr>
            <w:tcW w:w="2350" w:type="dxa"/>
            <w:vAlign w:val="center"/>
          </w:tcPr>
          <w:p w14:paraId="465A8302">
            <w:pPr>
              <w:spacing w:line="360" w:lineRule="auto"/>
              <w:jc w:val="center"/>
              <w:rPr>
                <w:rFonts w:hint="eastAsia"/>
                <w:highlight w:val="none"/>
              </w:rPr>
            </w:pPr>
          </w:p>
        </w:tc>
        <w:tc>
          <w:tcPr>
            <w:tcW w:w="2104" w:type="dxa"/>
            <w:vAlign w:val="center"/>
          </w:tcPr>
          <w:p w14:paraId="1960BF71">
            <w:pPr>
              <w:spacing w:line="360" w:lineRule="auto"/>
              <w:jc w:val="center"/>
              <w:rPr>
                <w:rFonts w:hint="eastAsia"/>
                <w:highlight w:val="none"/>
              </w:rPr>
            </w:pPr>
          </w:p>
        </w:tc>
        <w:tc>
          <w:tcPr>
            <w:tcW w:w="1893" w:type="dxa"/>
            <w:vAlign w:val="center"/>
          </w:tcPr>
          <w:p w14:paraId="2F9D121E">
            <w:pPr>
              <w:spacing w:line="360" w:lineRule="auto"/>
              <w:jc w:val="center"/>
              <w:rPr>
                <w:rFonts w:hint="eastAsia"/>
                <w:highlight w:val="none"/>
              </w:rPr>
            </w:pPr>
          </w:p>
        </w:tc>
      </w:tr>
    </w:tbl>
    <w:p w14:paraId="46210C80">
      <w:pPr>
        <w:pStyle w:val="11"/>
        <w:spacing w:line="360" w:lineRule="auto"/>
        <w:rPr>
          <w:rFonts w:hint="eastAsia"/>
          <w:szCs w:val="24"/>
          <w:highlight w:val="none"/>
        </w:rPr>
      </w:pPr>
    </w:p>
    <w:p w14:paraId="7CE9714C">
      <w:pPr>
        <w:pStyle w:val="11"/>
        <w:spacing w:line="360" w:lineRule="auto"/>
        <w:rPr>
          <w:rFonts w:hint="eastAsia"/>
          <w:szCs w:val="24"/>
          <w:highlight w:val="none"/>
        </w:rPr>
      </w:pPr>
    </w:p>
    <w:p w14:paraId="22AC78E8">
      <w:pPr>
        <w:rPr>
          <w:rFonts w:hint="eastAsia"/>
          <w:b/>
          <w:highlight w:val="none"/>
        </w:rPr>
      </w:pPr>
      <w:r>
        <w:rPr>
          <w:b/>
          <w:highlight w:val="none"/>
        </w:rPr>
        <w:br w:type="page"/>
      </w:r>
    </w:p>
    <w:p w14:paraId="4DA71F57">
      <w:pPr>
        <w:spacing w:line="360" w:lineRule="auto"/>
        <w:jc w:val="center"/>
        <w:rPr>
          <w:rFonts w:ascii="Arial" w:hAnsi="Arial"/>
          <w:b/>
          <w:sz w:val="30"/>
          <w:szCs w:val="20"/>
          <w:highlight w:val="none"/>
        </w:rPr>
      </w:pPr>
      <w:r>
        <w:rPr>
          <w:rFonts w:hint="eastAsia" w:ascii="Arial" w:hAnsi="Arial"/>
          <w:b/>
          <w:sz w:val="30"/>
          <w:szCs w:val="20"/>
          <w:highlight w:val="none"/>
        </w:rPr>
        <w:t>八、拟分包计划表</w:t>
      </w:r>
    </w:p>
    <w:tbl>
      <w:tblPr>
        <w:tblStyle w:val="37"/>
        <w:tblW w:w="5000" w:type="pct"/>
        <w:tblInd w:w="0" w:type="dxa"/>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Layout w:type="autofit"/>
        <w:tblCellMar>
          <w:top w:w="0" w:type="dxa"/>
          <w:left w:w="1" w:type="dxa"/>
          <w:bottom w:w="0" w:type="dxa"/>
          <w:right w:w="1" w:type="dxa"/>
        </w:tblCellMar>
      </w:tblPr>
      <w:tblGrid>
        <w:gridCol w:w="1034"/>
        <w:gridCol w:w="2025"/>
        <w:gridCol w:w="2192"/>
        <w:gridCol w:w="2100"/>
        <w:gridCol w:w="1839"/>
      </w:tblGrid>
      <w:tr w14:paraId="46975251">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 w:type="dxa"/>
            <w:bottom w:w="0" w:type="dxa"/>
            <w:right w:w="1" w:type="dxa"/>
          </w:tblCellMar>
        </w:tblPrEx>
        <w:trPr>
          <w:tblHeader/>
        </w:trPr>
        <w:tc>
          <w:tcPr>
            <w:tcW w:w="562" w:type="pct"/>
            <w:vAlign w:val="center"/>
          </w:tcPr>
          <w:p w14:paraId="1F6A3C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center"/>
              <w:rPr>
                <w:rFonts w:hint="eastAsia"/>
                <w:szCs w:val="21"/>
                <w:highlight w:val="none"/>
                <w:lang w:val="zh-CN" w:bidi="zh-CN"/>
              </w:rPr>
            </w:pPr>
            <w:r>
              <w:rPr>
                <w:szCs w:val="21"/>
                <w:highlight w:val="none"/>
                <w:lang w:val="zh-CN" w:bidi="zh-CN"/>
              </w:rPr>
              <w:fldChar w:fldCharType="begin"/>
            </w:r>
            <w:r>
              <w:rPr>
                <w:szCs w:val="21"/>
                <w:highlight w:val="none"/>
                <w:lang w:val="zh-CN" w:bidi="zh-CN"/>
              </w:rPr>
              <w:instrText xml:space="preserve"> MERGEFIELD MF_TB </w:instrText>
            </w:r>
            <w:r>
              <w:rPr>
                <w:szCs w:val="21"/>
                <w:highlight w:val="none"/>
                <w:lang w:val="zh-CN" w:bidi="zh-CN"/>
              </w:rPr>
              <w:fldChar w:fldCharType="separate"/>
            </w:r>
            <w:r>
              <w:rPr>
                <w:szCs w:val="21"/>
                <w:highlight w:val="none"/>
                <w:lang w:val="zh-CN" w:bidi="zh-CN"/>
              </w:rPr>
              <w:t>序号</w:t>
            </w:r>
            <w:r>
              <w:rPr>
                <w:szCs w:val="21"/>
                <w:highlight w:val="none"/>
                <w:lang w:val="zh-CN" w:bidi="zh-CN"/>
              </w:rPr>
              <w:fldChar w:fldCharType="end"/>
            </w:r>
          </w:p>
        </w:tc>
        <w:tc>
          <w:tcPr>
            <w:tcW w:w="1101" w:type="pct"/>
            <w:vAlign w:val="center"/>
          </w:tcPr>
          <w:p w14:paraId="49962F7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center"/>
              <w:rPr>
                <w:rFonts w:hint="eastAsia"/>
                <w:szCs w:val="21"/>
                <w:highlight w:val="none"/>
                <w:lang w:val="zh-CN" w:bidi="zh-CN"/>
              </w:rPr>
            </w:pPr>
            <w:r>
              <w:rPr>
                <w:szCs w:val="21"/>
                <w:highlight w:val="none"/>
                <w:lang w:val="zh-CN" w:bidi="zh-CN"/>
              </w:rPr>
              <w:fldChar w:fldCharType="begin"/>
            </w:r>
            <w:r>
              <w:rPr>
                <w:szCs w:val="21"/>
                <w:highlight w:val="none"/>
                <w:lang w:val="zh-CN" w:bidi="zh-CN"/>
              </w:rPr>
              <w:instrText xml:space="preserve"> MERGEFIELD MF_TB </w:instrText>
            </w:r>
            <w:r>
              <w:rPr>
                <w:szCs w:val="21"/>
                <w:highlight w:val="none"/>
                <w:lang w:val="zh-CN" w:bidi="zh-CN"/>
              </w:rPr>
              <w:fldChar w:fldCharType="separate"/>
            </w:r>
            <w:r>
              <w:rPr>
                <w:szCs w:val="21"/>
                <w:highlight w:val="none"/>
                <w:lang w:val="zh-CN" w:bidi="zh-CN"/>
              </w:rPr>
              <w:t>拟分包项目名称、范围及理由</w:t>
            </w:r>
            <w:r>
              <w:rPr>
                <w:szCs w:val="21"/>
                <w:highlight w:val="none"/>
                <w:lang w:val="zh-CN" w:bidi="zh-CN"/>
              </w:rPr>
              <w:fldChar w:fldCharType="end"/>
            </w:r>
          </w:p>
        </w:tc>
        <w:tc>
          <w:tcPr>
            <w:tcW w:w="1192" w:type="pct"/>
            <w:vAlign w:val="center"/>
          </w:tcPr>
          <w:p w14:paraId="21A7449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center"/>
              <w:rPr>
                <w:rFonts w:hint="eastAsia"/>
                <w:b/>
                <w:bCs/>
                <w:szCs w:val="21"/>
                <w:highlight w:val="none"/>
                <w:lang w:val="zh-CN" w:bidi="zh-CN"/>
              </w:rPr>
            </w:pPr>
            <w:r>
              <w:rPr>
                <w:szCs w:val="21"/>
                <w:highlight w:val="none"/>
                <w:lang w:val="zh-CN" w:bidi="zh-CN"/>
              </w:rPr>
              <w:fldChar w:fldCharType="begin"/>
            </w:r>
            <w:r>
              <w:rPr>
                <w:szCs w:val="21"/>
                <w:highlight w:val="none"/>
                <w:lang w:val="zh-CN" w:bidi="zh-CN"/>
              </w:rPr>
              <w:instrText xml:space="preserve"> MERGEFIELD MF_TB </w:instrText>
            </w:r>
            <w:r>
              <w:rPr>
                <w:szCs w:val="21"/>
                <w:highlight w:val="none"/>
                <w:lang w:val="zh-CN" w:bidi="zh-CN"/>
              </w:rPr>
              <w:fldChar w:fldCharType="separate"/>
            </w:r>
            <w:r>
              <w:rPr>
                <w:szCs w:val="21"/>
                <w:highlight w:val="none"/>
                <w:lang w:val="zh-CN" w:bidi="zh-CN"/>
              </w:rPr>
              <w:t>拟选分包人名称</w:t>
            </w:r>
            <w:r>
              <w:rPr>
                <w:szCs w:val="21"/>
                <w:highlight w:val="none"/>
                <w:lang w:val="zh-CN" w:bidi="zh-CN"/>
              </w:rPr>
              <w:fldChar w:fldCharType="end"/>
            </w:r>
          </w:p>
        </w:tc>
        <w:tc>
          <w:tcPr>
            <w:tcW w:w="1142" w:type="pct"/>
            <w:vAlign w:val="center"/>
          </w:tcPr>
          <w:p w14:paraId="28FE36D5">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center"/>
              <w:rPr>
                <w:rFonts w:hint="eastAsia"/>
                <w:szCs w:val="21"/>
                <w:highlight w:val="none"/>
                <w:lang w:val="zh-CN" w:bidi="zh-CN"/>
              </w:rPr>
            </w:pPr>
            <w:r>
              <w:rPr>
                <w:szCs w:val="21"/>
                <w:highlight w:val="none"/>
                <w:lang w:val="zh-CN" w:bidi="zh-CN"/>
              </w:rPr>
              <w:t>拟选分包人</w:t>
            </w:r>
            <w:r>
              <w:rPr>
                <w:rFonts w:hint="eastAsia"/>
                <w:szCs w:val="21"/>
                <w:highlight w:val="none"/>
                <w:lang w:bidi="zh-CN"/>
              </w:rPr>
              <w:t>对应分包内容所具备的</w:t>
            </w:r>
            <w:r>
              <w:rPr>
                <w:szCs w:val="21"/>
                <w:highlight w:val="none"/>
                <w:lang w:val="zh-CN" w:bidi="zh-CN"/>
              </w:rPr>
              <w:fldChar w:fldCharType="begin"/>
            </w:r>
            <w:r>
              <w:rPr>
                <w:szCs w:val="21"/>
                <w:highlight w:val="none"/>
                <w:lang w:val="zh-CN" w:bidi="zh-CN"/>
              </w:rPr>
              <w:instrText xml:space="preserve"> MERGEFIELD MF_TB </w:instrText>
            </w:r>
            <w:r>
              <w:rPr>
                <w:szCs w:val="21"/>
                <w:highlight w:val="none"/>
                <w:lang w:val="zh-CN" w:bidi="zh-CN"/>
              </w:rPr>
              <w:fldChar w:fldCharType="separate"/>
            </w:r>
            <w:r>
              <w:rPr>
                <w:szCs w:val="21"/>
                <w:highlight w:val="none"/>
                <w:lang w:val="zh-CN" w:bidi="zh-CN"/>
              </w:rPr>
              <w:t>企业资质</w:t>
            </w:r>
            <w:r>
              <w:rPr>
                <w:szCs w:val="21"/>
                <w:highlight w:val="none"/>
                <w:lang w:val="zh-CN" w:bidi="zh-CN"/>
              </w:rPr>
              <w:fldChar w:fldCharType="end"/>
            </w:r>
          </w:p>
        </w:tc>
        <w:tc>
          <w:tcPr>
            <w:tcW w:w="1000" w:type="pct"/>
            <w:vAlign w:val="center"/>
          </w:tcPr>
          <w:p w14:paraId="3B8A6025">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center"/>
              <w:rPr>
                <w:rFonts w:hint="eastAsia"/>
                <w:szCs w:val="21"/>
                <w:highlight w:val="none"/>
                <w:lang w:val="zh-CN" w:bidi="zh-CN"/>
              </w:rPr>
            </w:pPr>
            <w:r>
              <w:rPr>
                <w:b/>
                <w:bCs/>
                <w:szCs w:val="21"/>
                <w:highlight w:val="none"/>
                <w:lang w:val="zh-CN" w:bidi="zh-CN"/>
              </w:rPr>
              <w:fldChar w:fldCharType="begin"/>
            </w:r>
            <w:r>
              <w:rPr>
                <w:b/>
                <w:bCs/>
                <w:szCs w:val="21"/>
                <w:highlight w:val="none"/>
                <w:lang w:val="zh-CN" w:bidi="zh-CN"/>
              </w:rPr>
              <w:instrText xml:space="preserve"> MERGEFIELD MF_TB </w:instrText>
            </w:r>
            <w:r>
              <w:rPr>
                <w:b/>
                <w:bCs/>
                <w:szCs w:val="21"/>
                <w:highlight w:val="none"/>
                <w:lang w:val="zh-CN" w:bidi="zh-CN"/>
              </w:rPr>
              <w:fldChar w:fldCharType="separate"/>
            </w:r>
            <w:r>
              <w:rPr>
                <w:b/>
                <w:bCs/>
                <w:szCs w:val="21"/>
                <w:highlight w:val="none"/>
                <w:lang w:val="zh-CN" w:bidi="zh-CN"/>
              </w:rPr>
              <w:t>拟选分包人</w:t>
            </w:r>
            <w:r>
              <w:rPr>
                <w:rFonts w:hint="eastAsia"/>
                <w:b/>
                <w:bCs/>
                <w:szCs w:val="21"/>
                <w:highlight w:val="none"/>
                <w:lang w:val="zh-CN" w:bidi="zh-CN"/>
              </w:rPr>
              <w:t>按《</w:t>
            </w:r>
            <w:r>
              <w:rPr>
                <w:b/>
                <w:bCs/>
                <w:szCs w:val="21"/>
                <w:highlight w:val="none"/>
                <w:lang w:val="zh-CN" w:bidi="zh-CN"/>
              </w:rPr>
              <w:t>中小企业划型标准规定</w:t>
            </w:r>
            <w:r>
              <w:rPr>
                <w:rFonts w:hint="eastAsia"/>
                <w:b/>
                <w:bCs/>
                <w:szCs w:val="21"/>
                <w:highlight w:val="none"/>
                <w:lang w:val="zh-CN" w:bidi="zh-CN"/>
              </w:rPr>
              <w:t>》的对应行业类别的企业性质（填写大型、中型、小型、微型）</w:t>
            </w:r>
            <w:r>
              <w:rPr>
                <w:b/>
                <w:bCs/>
                <w:szCs w:val="21"/>
                <w:highlight w:val="none"/>
                <w:lang w:val="zh-CN" w:bidi="zh-CN"/>
              </w:rPr>
              <w:fldChar w:fldCharType="end"/>
            </w:r>
          </w:p>
        </w:tc>
      </w:tr>
      <w:tr w14:paraId="5BF2BAEF">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 w:type="dxa"/>
            <w:bottom w:w="0" w:type="dxa"/>
            <w:right w:w="1" w:type="dxa"/>
          </w:tblCellMar>
        </w:tblPrEx>
        <w:tc>
          <w:tcPr>
            <w:tcW w:w="562" w:type="pct"/>
            <w:vAlign w:val="center"/>
          </w:tcPr>
          <w:p w14:paraId="363DD65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01" w:type="pct"/>
            <w:vAlign w:val="center"/>
          </w:tcPr>
          <w:p w14:paraId="7D54136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92" w:type="pct"/>
            <w:vAlign w:val="center"/>
          </w:tcPr>
          <w:p w14:paraId="1D7859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42" w:type="pct"/>
            <w:vAlign w:val="center"/>
          </w:tcPr>
          <w:p w14:paraId="2D0638D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000" w:type="pct"/>
            <w:vAlign w:val="center"/>
          </w:tcPr>
          <w:p w14:paraId="62BF3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r>
      <w:tr w14:paraId="4FB7508B">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 w:type="dxa"/>
            <w:bottom w:w="0" w:type="dxa"/>
            <w:right w:w="1" w:type="dxa"/>
          </w:tblCellMar>
        </w:tblPrEx>
        <w:tc>
          <w:tcPr>
            <w:tcW w:w="562" w:type="pct"/>
            <w:vAlign w:val="center"/>
          </w:tcPr>
          <w:p w14:paraId="09FA3D5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01" w:type="pct"/>
            <w:vAlign w:val="center"/>
          </w:tcPr>
          <w:p w14:paraId="600FF64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92" w:type="pct"/>
            <w:vAlign w:val="center"/>
          </w:tcPr>
          <w:p w14:paraId="5F67695D">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42" w:type="pct"/>
            <w:vAlign w:val="center"/>
          </w:tcPr>
          <w:p w14:paraId="1D420CB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000" w:type="pct"/>
            <w:vAlign w:val="center"/>
          </w:tcPr>
          <w:p w14:paraId="09EFCDD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r>
      <w:tr w14:paraId="0D59B1C8">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 w:type="dxa"/>
            <w:bottom w:w="0" w:type="dxa"/>
            <w:right w:w="1" w:type="dxa"/>
          </w:tblCellMar>
        </w:tblPrEx>
        <w:tc>
          <w:tcPr>
            <w:tcW w:w="562" w:type="pct"/>
            <w:vAlign w:val="center"/>
          </w:tcPr>
          <w:p w14:paraId="4699D63D">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01" w:type="pct"/>
            <w:vAlign w:val="center"/>
          </w:tcPr>
          <w:p w14:paraId="16BCB1A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92" w:type="pct"/>
            <w:vAlign w:val="center"/>
          </w:tcPr>
          <w:p w14:paraId="5FF86F8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42" w:type="pct"/>
            <w:vAlign w:val="center"/>
          </w:tcPr>
          <w:p w14:paraId="58DB13F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000" w:type="pct"/>
            <w:vAlign w:val="center"/>
          </w:tcPr>
          <w:p w14:paraId="6799AB9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r>
      <w:tr w14:paraId="54D54BDC">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 w:type="dxa"/>
            <w:bottom w:w="0" w:type="dxa"/>
            <w:right w:w="1" w:type="dxa"/>
          </w:tblCellMar>
        </w:tblPrEx>
        <w:tc>
          <w:tcPr>
            <w:tcW w:w="562" w:type="pct"/>
            <w:vAlign w:val="center"/>
          </w:tcPr>
          <w:p w14:paraId="4505EFE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01" w:type="pct"/>
            <w:vAlign w:val="center"/>
          </w:tcPr>
          <w:p w14:paraId="0FD1CEE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92" w:type="pct"/>
            <w:vAlign w:val="center"/>
          </w:tcPr>
          <w:p w14:paraId="7EFC620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42" w:type="pct"/>
            <w:vAlign w:val="center"/>
          </w:tcPr>
          <w:p w14:paraId="33492053">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000" w:type="pct"/>
            <w:vAlign w:val="center"/>
          </w:tcPr>
          <w:p w14:paraId="1769E72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r>
      <w:tr w14:paraId="7D821629">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 w:type="dxa"/>
            <w:bottom w:w="0" w:type="dxa"/>
            <w:right w:w="1" w:type="dxa"/>
          </w:tblCellMar>
        </w:tblPrEx>
        <w:tc>
          <w:tcPr>
            <w:tcW w:w="562" w:type="pct"/>
            <w:vAlign w:val="center"/>
          </w:tcPr>
          <w:p w14:paraId="15CC137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01" w:type="pct"/>
            <w:vAlign w:val="center"/>
          </w:tcPr>
          <w:p w14:paraId="511355DB">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92" w:type="pct"/>
            <w:vAlign w:val="center"/>
          </w:tcPr>
          <w:p w14:paraId="6DD1910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42" w:type="pct"/>
            <w:vAlign w:val="center"/>
          </w:tcPr>
          <w:p w14:paraId="1BB62EB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000" w:type="pct"/>
            <w:vAlign w:val="center"/>
          </w:tcPr>
          <w:p w14:paraId="372ABC2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r>
      <w:tr w14:paraId="37FBCBC2">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 w:type="dxa"/>
            <w:bottom w:w="0" w:type="dxa"/>
            <w:right w:w="1" w:type="dxa"/>
          </w:tblCellMar>
        </w:tblPrEx>
        <w:tc>
          <w:tcPr>
            <w:tcW w:w="562" w:type="pct"/>
            <w:vAlign w:val="center"/>
          </w:tcPr>
          <w:p w14:paraId="029920D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01" w:type="pct"/>
            <w:vAlign w:val="center"/>
          </w:tcPr>
          <w:p w14:paraId="478E0BB5">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92" w:type="pct"/>
            <w:vAlign w:val="center"/>
          </w:tcPr>
          <w:p w14:paraId="2F6407A8">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42" w:type="pct"/>
            <w:vAlign w:val="center"/>
          </w:tcPr>
          <w:p w14:paraId="2B868DE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000" w:type="pct"/>
            <w:vAlign w:val="center"/>
          </w:tcPr>
          <w:p w14:paraId="63FE908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r>
      <w:tr w14:paraId="087E8EB0">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 w:type="dxa"/>
            <w:bottom w:w="0" w:type="dxa"/>
            <w:right w:w="1" w:type="dxa"/>
          </w:tblCellMar>
        </w:tblPrEx>
        <w:tc>
          <w:tcPr>
            <w:tcW w:w="562" w:type="pct"/>
            <w:vAlign w:val="center"/>
          </w:tcPr>
          <w:p w14:paraId="51C4B235">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01" w:type="pct"/>
            <w:vAlign w:val="center"/>
          </w:tcPr>
          <w:p w14:paraId="01F5883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92" w:type="pct"/>
            <w:vAlign w:val="center"/>
          </w:tcPr>
          <w:p w14:paraId="4376EA6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42" w:type="pct"/>
            <w:vAlign w:val="center"/>
          </w:tcPr>
          <w:p w14:paraId="440BAED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000" w:type="pct"/>
            <w:vAlign w:val="center"/>
          </w:tcPr>
          <w:p w14:paraId="0F3F3FC8">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r>
      <w:tr w14:paraId="69F471EA">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 w:type="dxa"/>
            <w:bottom w:w="0" w:type="dxa"/>
            <w:right w:w="1" w:type="dxa"/>
          </w:tblCellMar>
        </w:tblPrEx>
        <w:tc>
          <w:tcPr>
            <w:tcW w:w="562" w:type="pct"/>
            <w:vAlign w:val="center"/>
          </w:tcPr>
          <w:p w14:paraId="7A349DC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01" w:type="pct"/>
            <w:vAlign w:val="center"/>
          </w:tcPr>
          <w:p w14:paraId="4F968D3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92" w:type="pct"/>
            <w:vAlign w:val="center"/>
          </w:tcPr>
          <w:p w14:paraId="5DB4B6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42" w:type="pct"/>
            <w:vAlign w:val="center"/>
          </w:tcPr>
          <w:p w14:paraId="78BBAB1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000" w:type="pct"/>
            <w:vAlign w:val="center"/>
          </w:tcPr>
          <w:p w14:paraId="52A047E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r>
      <w:tr w14:paraId="33911E20">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 w:type="dxa"/>
            <w:bottom w:w="0" w:type="dxa"/>
            <w:right w:w="1" w:type="dxa"/>
          </w:tblCellMar>
        </w:tblPrEx>
        <w:tc>
          <w:tcPr>
            <w:tcW w:w="562" w:type="pct"/>
            <w:vAlign w:val="center"/>
          </w:tcPr>
          <w:p w14:paraId="61C312E5">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01" w:type="pct"/>
            <w:vAlign w:val="center"/>
          </w:tcPr>
          <w:p w14:paraId="13B8C2D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92" w:type="pct"/>
            <w:vAlign w:val="center"/>
          </w:tcPr>
          <w:p w14:paraId="3216ADC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42" w:type="pct"/>
            <w:vAlign w:val="center"/>
          </w:tcPr>
          <w:p w14:paraId="2B15B40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000" w:type="pct"/>
            <w:vAlign w:val="center"/>
          </w:tcPr>
          <w:p w14:paraId="7AA8AA1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r>
      <w:tr w14:paraId="714A5F27">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 w:type="dxa"/>
            <w:bottom w:w="0" w:type="dxa"/>
            <w:right w:w="1" w:type="dxa"/>
          </w:tblCellMar>
        </w:tblPrEx>
        <w:tc>
          <w:tcPr>
            <w:tcW w:w="562" w:type="pct"/>
            <w:vAlign w:val="center"/>
          </w:tcPr>
          <w:p w14:paraId="613D8445">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01" w:type="pct"/>
            <w:vAlign w:val="center"/>
          </w:tcPr>
          <w:p w14:paraId="1008325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92" w:type="pct"/>
            <w:vAlign w:val="center"/>
          </w:tcPr>
          <w:p w14:paraId="257F32C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142" w:type="pct"/>
            <w:vAlign w:val="center"/>
          </w:tcPr>
          <w:p w14:paraId="1BCCD97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c>
          <w:tcPr>
            <w:tcW w:w="1000" w:type="pct"/>
            <w:vAlign w:val="center"/>
          </w:tcPr>
          <w:p w14:paraId="1CBF486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hint="eastAsia"/>
                <w:szCs w:val="21"/>
                <w:highlight w:val="none"/>
                <w:lang w:val="zh-CN" w:bidi="zh-CN"/>
              </w:rPr>
            </w:pPr>
          </w:p>
        </w:tc>
      </w:tr>
    </w:tbl>
    <w:p w14:paraId="4D31480A">
      <w:pPr>
        <w:spacing w:before="240" w:beforeLines="100" w:after="360" w:afterLines="150" w:line="360" w:lineRule="auto"/>
        <w:rPr>
          <w:rFonts w:hint="eastAsia"/>
          <w:sz w:val="21"/>
          <w:highlight w:val="none"/>
        </w:rPr>
      </w:pPr>
    </w:p>
    <w:p w14:paraId="76A57E9F">
      <w:pPr>
        <w:spacing w:before="240" w:beforeLines="100" w:after="360" w:afterLines="150" w:line="360" w:lineRule="auto"/>
        <w:ind w:firstLine="420" w:firstLineChars="200"/>
        <w:rPr>
          <w:rFonts w:hint="eastAsia"/>
          <w:sz w:val="21"/>
          <w:highlight w:val="none"/>
        </w:rPr>
      </w:pPr>
    </w:p>
    <w:p w14:paraId="45F7958B">
      <w:pPr>
        <w:spacing w:line="360" w:lineRule="auto"/>
        <w:rPr>
          <w:rFonts w:hint="eastAsia"/>
          <w:b/>
          <w:highlight w:val="none"/>
        </w:rPr>
      </w:pPr>
      <w:r>
        <w:rPr>
          <w:b/>
          <w:highlight w:val="none"/>
        </w:rPr>
        <w:br w:type="page"/>
      </w:r>
    </w:p>
    <w:p w14:paraId="4630D208">
      <w:pPr>
        <w:autoSpaceDE w:val="0"/>
        <w:autoSpaceDN w:val="0"/>
        <w:adjustRightInd w:val="0"/>
        <w:spacing w:line="360" w:lineRule="auto"/>
        <w:jc w:val="center"/>
        <w:rPr>
          <w:rFonts w:hint="eastAsia"/>
          <w:b/>
          <w:highlight w:val="none"/>
        </w:rPr>
      </w:pPr>
    </w:p>
    <w:p w14:paraId="59F66342">
      <w:pPr>
        <w:pStyle w:val="3"/>
        <w:spacing w:line="360" w:lineRule="auto"/>
        <w:rPr>
          <w:rFonts w:hint="eastAsia" w:ascii="宋体" w:hAnsi="宋体"/>
          <w:highlight w:val="none"/>
        </w:rPr>
      </w:pPr>
      <w:bookmarkStart w:id="127" w:name="_Toc72335535"/>
      <w:r>
        <w:rPr>
          <w:rFonts w:hint="eastAsia" w:ascii="宋体" w:hAnsi="宋体"/>
          <w:highlight w:val="none"/>
        </w:rPr>
        <w:t>九、法定代表人授权书格式</w:t>
      </w:r>
      <w:bookmarkEnd w:id="127"/>
    </w:p>
    <w:p w14:paraId="5C4AB976">
      <w:pPr>
        <w:spacing w:line="360" w:lineRule="auto"/>
        <w:rPr>
          <w:rFonts w:hint="eastAsia"/>
          <w:highlight w:val="none"/>
        </w:rPr>
      </w:pPr>
    </w:p>
    <w:p w14:paraId="39B9BF95">
      <w:pPr>
        <w:spacing w:line="360" w:lineRule="auto"/>
        <w:rPr>
          <w:rFonts w:hint="eastAsia"/>
          <w:highlight w:val="none"/>
        </w:rPr>
      </w:pPr>
    </w:p>
    <w:p w14:paraId="25F77732">
      <w:pPr>
        <w:spacing w:line="360" w:lineRule="auto"/>
        <w:rPr>
          <w:rFonts w:hint="eastAsia"/>
          <w:highlight w:val="none"/>
        </w:rPr>
      </w:pPr>
      <w:r>
        <w:rPr>
          <w:rFonts w:hint="eastAsia"/>
          <w:highlight w:val="none"/>
        </w:rPr>
        <w:t>致：上海科瑞真诚建设项目管理有限公司</w:t>
      </w:r>
    </w:p>
    <w:p w14:paraId="21A47842">
      <w:pPr>
        <w:spacing w:line="360" w:lineRule="auto"/>
        <w:rPr>
          <w:rFonts w:hint="eastAsia"/>
          <w:highlight w:val="none"/>
        </w:rPr>
      </w:pPr>
    </w:p>
    <w:p w14:paraId="3DA62D34">
      <w:pPr>
        <w:spacing w:line="360" w:lineRule="auto"/>
        <w:rPr>
          <w:rFonts w:hint="eastAsia"/>
          <w:highlight w:val="none"/>
        </w:rPr>
      </w:pPr>
      <w:r>
        <w:rPr>
          <w:rFonts w:hint="eastAsia"/>
          <w:highlight w:val="none"/>
        </w:rPr>
        <w:t>我（姓名）系（报价人名称）的法定代表人，现授权委托本单位在职职工（姓名，职务）以我方的名义参加贵公司______________________项目的投标活动，并代表我方全权办理针对上述项目的投标、开标、响应文件澄清、签约等一切具体事务和签署相关文件。</w:t>
      </w:r>
    </w:p>
    <w:p w14:paraId="2B210AB2">
      <w:pPr>
        <w:spacing w:line="360" w:lineRule="auto"/>
        <w:rPr>
          <w:rFonts w:hint="eastAsia"/>
          <w:highlight w:val="none"/>
        </w:rPr>
      </w:pPr>
      <w:r>
        <w:rPr>
          <w:rFonts w:hint="eastAsia"/>
          <w:highlight w:val="none"/>
        </w:rPr>
        <w:t>我方对被授权人的签名事项负全部责任。</w:t>
      </w:r>
    </w:p>
    <w:p w14:paraId="2DA40A3C">
      <w:pPr>
        <w:spacing w:line="360" w:lineRule="auto"/>
        <w:rPr>
          <w:rFonts w:hint="eastAsia"/>
          <w:highlight w:val="none"/>
        </w:rPr>
      </w:pPr>
      <w:r>
        <w:rPr>
          <w:rFonts w:hint="eastAsia"/>
          <w:highlight w:val="none"/>
        </w:rPr>
        <w:t>在贵中心收到我方撤销授权的书面通知以前，本授权书一直有效。被授权人在授权书有效期内签署的所有文件不因授权的撤销而失效。除我方书面撤销授权外，本授权书自响应截止之日起直至我方的报价有效期结束前始终有效。</w:t>
      </w:r>
    </w:p>
    <w:p w14:paraId="092962C9">
      <w:pPr>
        <w:spacing w:line="360" w:lineRule="auto"/>
        <w:rPr>
          <w:rFonts w:hint="eastAsia"/>
          <w:highlight w:val="none"/>
        </w:rPr>
      </w:pPr>
      <w:r>
        <w:rPr>
          <w:rFonts w:hint="eastAsia"/>
          <w:highlight w:val="none"/>
        </w:rPr>
        <w:t>被授权人无转委托权，特此委托。</w:t>
      </w:r>
    </w:p>
    <w:p w14:paraId="13BF7B56">
      <w:pPr>
        <w:spacing w:line="360" w:lineRule="auto"/>
        <w:rPr>
          <w:rFonts w:hint="eastAsia"/>
          <w:highlight w:val="none"/>
        </w:rPr>
      </w:pPr>
    </w:p>
    <w:p w14:paraId="33EB3C34">
      <w:pPr>
        <w:spacing w:line="360" w:lineRule="auto"/>
        <w:rPr>
          <w:rFonts w:hint="eastAsia"/>
          <w:highlight w:val="none"/>
        </w:rPr>
      </w:pPr>
      <w:r>
        <w:rPr>
          <w:rFonts w:cs="Times New Roman"/>
          <w:sz w:val="21"/>
          <w:highlight w:val="none"/>
        </w:rPr>
        <mc:AlternateContent>
          <mc:Choice Requires="wps">
            <w:drawing>
              <wp:anchor distT="0" distB="0" distL="114300" distR="114300" simplePos="0" relativeHeight="251661312" behindDoc="0" locked="0" layoutInCell="1" allowOverlap="1">
                <wp:simplePos x="0" y="0"/>
                <wp:positionH relativeFrom="column">
                  <wp:posOffset>295275</wp:posOffset>
                </wp:positionH>
                <wp:positionV relativeFrom="paragraph">
                  <wp:posOffset>44450</wp:posOffset>
                </wp:positionV>
                <wp:extent cx="2400300" cy="1287780"/>
                <wp:effectExtent l="4445" t="4445" r="14605" b="22225"/>
                <wp:wrapNone/>
                <wp:docPr id="1" name="流程图: 可选过程 1"/>
                <wp:cNvGraphicFramePr/>
                <a:graphic xmlns:a="http://schemas.openxmlformats.org/drawingml/2006/main">
                  <a:graphicData uri="http://schemas.microsoft.com/office/word/2010/wordprocessingShape">
                    <wps:wsp>
                      <wps:cNvSpPr/>
                      <wps:spPr>
                        <a:xfrm>
                          <a:off x="0" y="0"/>
                          <a:ext cx="2400300" cy="1287780"/>
                        </a:xfrm>
                        <a:prstGeom prst="flowChartAlternateProcess">
                          <a:avLst/>
                        </a:prstGeom>
                        <a:solidFill>
                          <a:srgbClr val="FFFFFF"/>
                        </a:solidFill>
                        <a:ln w="9525" cap="flat" cmpd="sng">
                          <a:solidFill>
                            <a:srgbClr val="000000"/>
                          </a:solidFill>
                          <a:prstDash val="solid"/>
                          <a:miter/>
                        </a:ln>
                        <a:effectLst/>
                      </wps:spPr>
                      <wps:txbx>
                        <w:txbxContent>
                          <w:p w14:paraId="5D77705E">
                            <w:pPr>
                              <w:rPr>
                                <w:rFonts w:hint="eastAsia"/>
                              </w:rPr>
                            </w:pPr>
                          </w:p>
                          <w:p w14:paraId="4A1EAC93">
                            <w:pPr>
                              <w:rPr>
                                <w:rFonts w:hint="eastAsia"/>
                              </w:rPr>
                            </w:pPr>
                            <w:r>
                              <w:rPr>
                                <w:rFonts w:hint="eastAsia"/>
                              </w:rPr>
                              <w:t>在此粘贴法定代表人身份证复印件</w:t>
                            </w:r>
                          </w:p>
                        </w:txbxContent>
                      </wps:txbx>
                      <wps:bodyPr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3.25pt;margin-top:3.5pt;height:101.4pt;width:189pt;z-index:251661312;mso-width-relative:page;mso-height-relative:page;" fillcolor="#FFFFFF" filled="t" stroked="t" coordsize="21600,21600" o:gfxdata="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8ZmObWAAAACAEAAA8A&#10;AAAAAAAAAQAgAAAAIgAAAGRycy9kb3ducmV2LnhtbFBLAQIUABQAAAAIAIdO4kAWY2sZUgIAAIsE&#10;AAAOAAAAAAAAAAEAIAAAACUBAABkcnMvZTJvRG9jLnhtbFBLBQYAAAAABgAGAFkBAADpBQAAAAA=&#10;">
                <v:fill on="t" focussize="0,0"/>
                <v:stroke color="#000000" joinstyle="miter"/>
                <v:imagedata o:title=""/>
                <o:lock v:ext="edit" aspectratio="f"/>
                <v:textbox>
                  <w:txbxContent>
                    <w:p w14:paraId="5D77705E">
                      <w:pPr>
                        <w:rPr>
                          <w:rFonts w:hint="eastAsia"/>
                        </w:rPr>
                      </w:pPr>
                    </w:p>
                    <w:p w14:paraId="4A1EAC93">
                      <w:pPr>
                        <w:rPr>
                          <w:rFonts w:hint="eastAsia"/>
                        </w:rPr>
                      </w:pPr>
                      <w:r>
                        <w:rPr>
                          <w:rFonts w:hint="eastAsia"/>
                        </w:rPr>
                        <w:t>在此粘贴法定代表人身份证复印件</w:t>
                      </w:r>
                    </w:p>
                  </w:txbxContent>
                </v:textbox>
              </v:shape>
            </w:pict>
          </mc:Fallback>
        </mc:AlternateContent>
      </w:r>
      <w:r>
        <w:rPr>
          <w:rFonts w:cs="Times New Roman"/>
          <w:sz w:val="21"/>
          <w:highlight w:val="none"/>
        </w:rPr>
        <mc:AlternateContent>
          <mc:Choice Requires="wps">
            <w:drawing>
              <wp:anchor distT="0" distB="0" distL="114300" distR="114300" simplePos="0" relativeHeight="251662336" behindDoc="0" locked="0" layoutInCell="1" allowOverlap="1">
                <wp:simplePos x="0" y="0"/>
                <wp:positionH relativeFrom="column">
                  <wp:posOffset>3249930</wp:posOffset>
                </wp:positionH>
                <wp:positionV relativeFrom="paragraph">
                  <wp:posOffset>44450</wp:posOffset>
                </wp:positionV>
                <wp:extent cx="2400300" cy="1287780"/>
                <wp:effectExtent l="4445" t="4445" r="14605" b="22225"/>
                <wp:wrapNone/>
                <wp:docPr id="4" name="流程图: 可选过程 2"/>
                <wp:cNvGraphicFramePr/>
                <a:graphic xmlns:a="http://schemas.openxmlformats.org/drawingml/2006/main">
                  <a:graphicData uri="http://schemas.microsoft.com/office/word/2010/wordprocessingShape">
                    <wps:wsp>
                      <wps:cNvSpPr/>
                      <wps:spPr>
                        <a:xfrm>
                          <a:off x="0" y="0"/>
                          <a:ext cx="2400300" cy="1287780"/>
                        </a:xfrm>
                        <a:prstGeom prst="flowChartAlternateProcess">
                          <a:avLst/>
                        </a:prstGeom>
                        <a:solidFill>
                          <a:srgbClr val="FFFFFF"/>
                        </a:solidFill>
                        <a:ln w="9525" cap="flat" cmpd="sng">
                          <a:solidFill>
                            <a:srgbClr val="000000"/>
                          </a:solidFill>
                          <a:prstDash val="solid"/>
                          <a:miter/>
                        </a:ln>
                        <a:effectLst/>
                      </wps:spPr>
                      <wps:txbx>
                        <w:txbxContent>
                          <w:p w14:paraId="50F67126">
                            <w:pPr>
                              <w:rPr>
                                <w:rFonts w:hint="eastAsia"/>
                              </w:rPr>
                            </w:pPr>
                          </w:p>
                          <w:p w14:paraId="195FA59C">
                            <w:pPr>
                              <w:rPr>
                                <w:rFonts w:hint="eastAsia"/>
                              </w:rPr>
                            </w:pPr>
                            <w:r>
                              <w:rPr>
                                <w:rFonts w:hint="eastAsia"/>
                              </w:rPr>
                              <w:t>在此粘贴被授权人身份证复印件</w:t>
                            </w:r>
                          </w:p>
                        </w:txbxContent>
                      </wps:txbx>
                      <wps:bodyPr vert="horz" wrap="square" lIns="91440" tIns="45720" rIns="91440" bIns="45720" anchor="t" anchorCtr="0" upright="1">
                        <a:noAutofit/>
                      </wps:bodyPr>
                    </wps:wsp>
                  </a:graphicData>
                </a:graphic>
              </wp:anchor>
            </w:drawing>
          </mc:Choice>
          <mc:Fallback>
            <w:pict>
              <v:shape id="流程图: 可选过程 2" o:spid="_x0000_s1026" o:spt="176" type="#_x0000_t176" style="position:absolute;left:0pt;margin-left:255.9pt;margin-top:3.5pt;height:101.4pt;width:189pt;z-index:251662336;mso-width-relative:page;mso-height-relative:page;" fillcolor="#FFFFFF" filled="t" stroked="t" coordsize="21600,21600" o:gfxdata="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XUDM/1wAAAAkBAAAP&#10;AAAAAAAAAAEAIAAAACIAAABkcnMvZG93bnJldi54bWxQSwECFAAUAAAACACHTuJAXfITklICAACL&#10;BAAADgAAAAAAAAABACAAAAAmAQAAZHJzL2Uyb0RvYy54bWxQSwUGAAAAAAYABgBZAQAA6gUAAAAA&#10;">
                <v:fill on="t" focussize="0,0"/>
                <v:stroke color="#000000" joinstyle="miter"/>
                <v:imagedata o:title=""/>
                <o:lock v:ext="edit" aspectratio="f"/>
                <v:textbox>
                  <w:txbxContent>
                    <w:p w14:paraId="50F67126">
                      <w:pPr>
                        <w:rPr>
                          <w:rFonts w:hint="eastAsia"/>
                        </w:rPr>
                      </w:pPr>
                    </w:p>
                    <w:p w14:paraId="195FA59C">
                      <w:pPr>
                        <w:rPr>
                          <w:rFonts w:hint="eastAsia"/>
                        </w:rPr>
                      </w:pPr>
                      <w:r>
                        <w:rPr>
                          <w:rFonts w:hint="eastAsia"/>
                        </w:rPr>
                        <w:t>在此粘贴被授权人身份证复印件</w:t>
                      </w:r>
                    </w:p>
                  </w:txbxContent>
                </v:textbox>
              </v:shape>
            </w:pict>
          </mc:Fallback>
        </mc:AlternateContent>
      </w:r>
    </w:p>
    <w:p w14:paraId="627165F0">
      <w:pPr>
        <w:spacing w:line="360" w:lineRule="auto"/>
        <w:rPr>
          <w:rFonts w:hint="eastAsia"/>
          <w:highlight w:val="none"/>
        </w:rPr>
      </w:pPr>
    </w:p>
    <w:p w14:paraId="33609A3B">
      <w:pPr>
        <w:spacing w:line="360" w:lineRule="auto"/>
        <w:rPr>
          <w:rFonts w:hint="eastAsia"/>
          <w:highlight w:val="none"/>
        </w:rPr>
      </w:pPr>
    </w:p>
    <w:p w14:paraId="1C098E72">
      <w:pPr>
        <w:spacing w:line="360" w:lineRule="auto"/>
        <w:rPr>
          <w:rFonts w:hint="eastAsia"/>
          <w:highlight w:val="none"/>
        </w:rPr>
      </w:pPr>
    </w:p>
    <w:p w14:paraId="35AA6A0E">
      <w:pPr>
        <w:spacing w:line="360" w:lineRule="auto"/>
        <w:rPr>
          <w:rFonts w:hint="eastAsia"/>
          <w:highlight w:val="none"/>
        </w:rPr>
      </w:pPr>
    </w:p>
    <w:p w14:paraId="65B36F3A">
      <w:pPr>
        <w:spacing w:line="360" w:lineRule="auto"/>
        <w:rPr>
          <w:rFonts w:hint="eastAsia"/>
          <w:highlight w:val="none"/>
        </w:rPr>
      </w:pPr>
    </w:p>
    <w:p w14:paraId="2FBF0399">
      <w:pPr>
        <w:spacing w:line="360" w:lineRule="auto"/>
        <w:rPr>
          <w:rFonts w:hint="eastAsia"/>
          <w:highlight w:val="none"/>
        </w:rPr>
      </w:pPr>
    </w:p>
    <w:p w14:paraId="4DF9E444">
      <w:pPr>
        <w:pStyle w:val="11"/>
        <w:spacing w:line="360" w:lineRule="auto"/>
        <w:ind w:firstLine="0"/>
        <w:rPr>
          <w:rFonts w:hint="eastAsia"/>
          <w:szCs w:val="24"/>
          <w:highlight w:val="none"/>
        </w:rPr>
      </w:pPr>
      <w:r>
        <w:rPr>
          <w:rFonts w:hint="eastAsia"/>
          <w:szCs w:val="24"/>
          <w:highlight w:val="none"/>
        </w:rPr>
        <w:t>代理人(签字)： 性别：年龄：</w:t>
      </w:r>
    </w:p>
    <w:p w14:paraId="06B6DCD3">
      <w:pPr>
        <w:pStyle w:val="11"/>
        <w:spacing w:line="360" w:lineRule="auto"/>
        <w:ind w:firstLine="0"/>
        <w:rPr>
          <w:rFonts w:hint="eastAsia"/>
          <w:szCs w:val="24"/>
          <w:highlight w:val="none"/>
        </w:rPr>
      </w:pPr>
      <w:r>
        <w:rPr>
          <w:rFonts w:hint="eastAsia"/>
          <w:szCs w:val="24"/>
          <w:highlight w:val="none"/>
        </w:rPr>
        <w:t>身份证号码：职务：</w:t>
      </w:r>
    </w:p>
    <w:p w14:paraId="30422F25">
      <w:pPr>
        <w:pStyle w:val="11"/>
        <w:spacing w:line="360" w:lineRule="auto"/>
        <w:ind w:firstLine="0"/>
        <w:rPr>
          <w:rFonts w:hint="eastAsia"/>
          <w:szCs w:val="24"/>
          <w:highlight w:val="none"/>
        </w:rPr>
      </w:pPr>
      <w:r>
        <w:rPr>
          <w:rFonts w:hint="eastAsia"/>
          <w:szCs w:val="24"/>
          <w:highlight w:val="none"/>
        </w:rPr>
        <w:t>投标人(盖公章)：</w:t>
      </w:r>
    </w:p>
    <w:p w14:paraId="76176386">
      <w:pPr>
        <w:pStyle w:val="11"/>
        <w:spacing w:line="360" w:lineRule="auto"/>
        <w:ind w:firstLine="0"/>
        <w:rPr>
          <w:rFonts w:hint="eastAsia"/>
          <w:szCs w:val="24"/>
          <w:highlight w:val="none"/>
          <w:u w:val="single"/>
        </w:rPr>
      </w:pPr>
      <w:r>
        <w:rPr>
          <w:rFonts w:hint="eastAsia"/>
          <w:szCs w:val="24"/>
          <w:highlight w:val="none"/>
        </w:rPr>
        <w:t xml:space="preserve">法定代表人(签字或盖章)： </w:t>
      </w:r>
    </w:p>
    <w:p w14:paraId="7A51F7A6">
      <w:pPr>
        <w:pStyle w:val="11"/>
        <w:tabs>
          <w:tab w:val="left" w:pos="5220"/>
        </w:tabs>
        <w:spacing w:line="360" w:lineRule="auto"/>
        <w:ind w:firstLine="0"/>
        <w:rPr>
          <w:rFonts w:hint="eastAsia"/>
          <w:szCs w:val="24"/>
          <w:highlight w:val="none"/>
        </w:rPr>
      </w:pPr>
      <w:r>
        <w:rPr>
          <w:rFonts w:hint="eastAsia"/>
          <w:szCs w:val="24"/>
          <w:highlight w:val="none"/>
        </w:rPr>
        <w:t>授权日期：    年    月    日</w:t>
      </w:r>
    </w:p>
    <w:p w14:paraId="359691C4">
      <w:pPr>
        <w:pStyle w:val="13"/>
        <w:spacing w:before="200" w:line="360" w:lineRule="auto"/>
        <w:jc w:val="center"/>
        <w:rPr>
          <w:rFonts w:hint="eastAsia" w:ascii="宋体" w:hAnsi="宋体"/>
          <w:highlight w:val="none"/>
        </w:rPr>
      </w:pPr>
      <w:r>
        <w:rPr>
          <w:rFonts w:ascii="宋体" w:hAnsi="宋体"/>
          <w:highlight w:val="none"/>
        </w:rPr>
        <w:br w:type="page"/>
      </w:r>
    </w:p>
    <w:p w14:paraId="6C62ECC9">
      <w:pPr>
        <w:pStyle w:val="13"/>
        <w:spacing w:before="200" w:line="360" w:lineRule="auto"/>
        <w:jc w:val="center"/>
        <w:rPr>
          <w:rFonts w:hint="eastAsia" w:ascii="宋体" w:hAnsi="宋体"/>
          <w:b/>
          <w:bCs/>
          <w:szCs w:val="36"/>
          <w:highlight w:val="none"/>
        </w:rPr>
      </w:pPr>
      <w:r>
        <w:rPr>
          <w:rFonts w:hint="eastAsia" w:ascii="宋体" w:hAnsi="宋体"/>
          <w:b/>
          <w:bCs/>
          <w:sz w:val="30"/>
          <w:szCs w:val="30"/>
          <w:highlight w:val="none"/>
        </w:rPr>
        <w:t>法定代表人证明书</w:t>
      </w:r>
    </w:p>
    <w:p w14:paraId="2A22BA08">
      <w:pPr>
        <w:spacing w:line="360" w:lineRule="auto"/>
        <w:rPr>
          <w:rFonts w:hint="eastAsia"/>
          <w:highlight w:val="none"/>
        </w:rPr>
      </w:pPr>
    </w:p>
    <w:p w14:paraId="114784AC">
      <w:pPr>
        <w:spacing w:line="360" w:lineRule="auto"/>
        <w:rPr>
          <w:rFonts w:hint="eastAsia"/>
          <w:highlight w:val="none"/>
        </w:rPr>
      </w:pPr>
      <w:r>
        <w:rPr>
          <w:rFonts w:hint="eastAsia"/>
          <w:highlight w:val="none"/>
        </w:rPr>
        <w:t>本授权书声明：注册于的（公司名称）的在下面签字的（负责人姓名）先生</w:t>
      </w:r>
      <w:r>
        <w:rPr>
          <w:highlight w:val="none"/>
        </w:rPr>
        <w:t>/</w:t>
      </w:r>
      <w:r>
        <w:rPr>
          <w:rFonts w:hint="eastAsia"/>
          <w:highlight w:val="none"/>
        </w:rPr>
        <w:t>女士现担任本公司职务，负责全面工作，为我单位的法定代表人。</w:t>
      </w:r>
    </w:p>
    <w:p w14:paraId="7FB9840F">
      <w:pPr>
        <w:spacing w:line="360" w:lineRule="auto"/>
        <w:ind w:firstLine="480" w:firstLineChars="200"/>
        <w:rPr>
          <w:rFonts w:hint="eastAsia"/>
          <w:highlight w:val="none"/>
        </w:rPr>
      </w:pPr>
    </w:p>
    <w:p w14:paraId="0B0C41E4">
      <w:pPr>
        <w:spacing w:line="360" w:lineRule="auto"/>
        <w:ind w:firstLine="480" w:firstLineChars="200"/>
        <w:rPr>
          <w:rFonts w:hint="eastAsia"/>
          <w:highlight w:val="none"/>
        </w:rPr>
      </w:pPr>
      <w:r>
        <w:rPr>
          <w:rFonts w:hint="eastAsia"/>
          <w:highlight w:val="none"/>
        </w:rPr>
        <w:t>特此证明。</w:t>
      </w:r>
    </w:p>
    <w:p w14:paraId="704886D7">
      <w:pPr>
        <w:spacing w:line="360" w:lineRule="auto"/>
        <w:rPr>
          <w:rFonts w:hint="eastAsia"/>
          <w:highlight w:val="none"/>
        </w:rPr>
      </w:pPr>
    </w:p>
    <w:p w14:paraId="2969DD18">
      <w:pPr>
        <w:tabs>
          <w:tab w:val="left" w:pos="8220"/>
          <w:tab w:val="left" w:pos="8280"/>
        </w:tabs>
        <w:autoSpaceDE w:val="0"/>
        <w:autoSpaceDN w:val="0"/>
        <w:spacing w:after="160" w:line="360" w:lineRule="auto"/>
        <w:ind w:right="-31" w:rightChars="-13"/>
        <w:textAlignment w:val="bottom"/>
        <w:rPr>
          <w:rFonts w:hint="eastAsia"/>
          <w:highlight w:val="none"/>
        </w:rPr>
      </w:pPr>
      <w:r>
        <w:rPr>
          <w:rFonts w:hint="eastAsia"/>
          <w:highlight w:val="none"/>
        </w:rPr>
        <w:t>法定代表人签字（或盖章）：</w:t>
      </w:r>
    </w:p>
    <w:p w14:paraId="5D53A647">
      <w:pPr>
        <w:spacing w:line="360" w:lineRule="auto"/>
        <w:rPr>
          <w:rFonts w:hint="eastAsia"/>
          <w:highlight w:val="none"/>
        </w:rPr>
      </w:pPr>
      <w:r>
        <w:rPr>
          <w:rFonts w:hint="eastAsia"/>
          <w:highlight w:val="none"/>
        </w:rPr>
        <w:t>单位全称（盖章）：</w:t>
      </w:r>
    </w:p>
    <w:p w14:paraId="6D1ED359">
      <w:pPr>
        <w:pStyle w:val="23"/>
        <w:spacing w:line="360" w:lineRule="auto"/>
        <w:rPr>
          <w:rFonts w:hint="eastAsia"/>
          <w:highlight w:val="none"/>
        </w:rPr>
      </w:pPr>
    </w:p>
    <w:p w14:paraId="529EEA34">
      <w:pPr>
        <w:pStyle w:val="23"/>
        <w:spacing w:line="360" w:lineRule="auto"/>
        <w:rPr>
          <w:rFonts w:hint="eastAsia"/>
          <w:highlight w:val="none"/>
        </w:rPr>
      </w:pPr>
    </w:p>
    <w:p w14:paraId="358BA3E2">
      <w:pPr>
        <w:pStyle w:val="23"/>
        <w:spacing w:line="360" w:lineRule="auto"/>
        <w:rPr>
          <w:rFonts w:hint="eastAsia"/>
          <w:highlight w:val="none"/>
        </w:rPr>
      </w:pPr>
    </w:p>
    <w:p w14:paraId="491AEA85">
      <w:pPr>
        <w:pStyle w:val="23"/>
        <w:spacing w:line="360" w:lineRule="auto"/>
        <w:rPr>
          <w:rFonts w:hint="eastAsia"/>
          <w:highlight w:val="none"/>
        </w:rPr>
      </w:pPr>
    </w:p>
    <w:p w14:paraId="28A3CCDB">
      <w:pPr>
        <w:pStyle w:val="23"/>
        <w:spacing w:line="360" w:lineRule="auto"/>
        <w:rPr>
          <w:rFonts w:hint="eastAsia"/>
          <w:highlight w:val="none"/>
        </w:rPr>
      </w:pPr>
    </w:p>
    <w:p w14:paraId="2EF6AD8C">
      <w:pPr>
        <w:pStyle w:val="23"/>
        <w:spacing w:line="360" w:lineRule="auto"/>
        <w:rPr>
          <w:rFonts w:hint="eastAsia"/>
          <w:highlight w:val="none"/>
        </w:rPr>
      </w:pPr>
      <w:r>
        <w:rPr>
          <w:rFonts w:hint="eastAsia"/>
          <w:highlight w:val="none"/>
        </w:rPr>
        <w:t>附：法定代表人身份证复印件</w:t>
      </w:r>
    </w:p>
    <w:p w14:paraId="486CB258">
      <w:pPr>
        <w:spacing w:line="360" w:lineRule="auto"/>
        <w:rPr>
          <w:rFonts w:hint="eastAsia"/>
          <w:highlight w:val="none"/>
        </w:rPr>
      </w:pPr>
      <w:r>
        <w:rPr>
          <w:rFonts w:hint="eastAsia"/>
          <w:szCs w:val="21"/>
          <w:highlight w:val="none"/>
        </w:rPr>
        <w:br w:type="page"/>
      </w:r>
    </w:p>
    <w:p w14:paraId="0D02B5AF">
      <w:pPr>
        <w:pStyle w:val="3"/>
        <w:spacing w:line="360" w:lineRule="auto"/>
        <w:rPr>
          <w:rFonts w:hint="eastAsia" w:ascii="宋体" w:hAnsi="宋体"/>
          <w:highlight w:val="none"/>
        </w:rPr>
      </w:pPr>
      <w:bookmarkStart w:id="128" w:name="_Toc386615039"/>
      <w:bookmarkStart w:id="129" w:name="_Toc72335536"/>
      <w:bookmarkStart w:id="130" w:name="_Toc421880928"/>
      <w:r>
        <w:rPr>
          <w:rFonts w:hint="eastAsia" w:ascii="宋体" w:hAnsi="宋体"/>
          <w:highlight w:val="none"/>
        </w:rPr>
        <w:t>十、中小企业声明函</w:t>
      </w:r>
      <w:bookmarkEnd w:id="128"/>
      <w:bookmarkEnd w:id="129"/>
      <w:bookmarkEnd w:id="130"/>
    </w:p>
    <w:p w14:paraId="3C00BAA3">
      <w:pPr>
        <w:spacing w:line="360" w:lineRule="auto"/>
        <w:rPr>
          <w:rFonts w:hint="eastAsia"/>
          <w:highlight w:val="none"/>
        </w:rPr>
      </w:pPr>
    </w:p>
    <w:p w14:paraId="0304E4AC">
      <w:pPr>
        <w:spacing w:before="100" w:beforeAutospacing="1" w:after="100" w:afterAutospacing="1" w:line="360" w:lineRule="auto"/>
        <w:ind w:firstLine="420"/>
        <w:rPr>
          <w:rFonts w:hint="eastAsia" w:cs="Arial"/>
          <w:highlight w:val="none"/>
        </w:rPr>
      </w:pPr>
      <w:r>
        <w:rPr>
          <w:rFonts w:hint="eastAsia" w:cs="Arial"/>
          <w:highlight w:val="none"/>
        </w:rPr>
        <w:t>本公司郑重声明，根据《政府采购促进中小企业发展管理办法》（财库[2020]46号）的规定，本公司参加</w:t>
      </w:r>
      <w:r>
        <w:rPr>
          <w:rFonts w:hint="eastAsia" w:cs="Arial"/>
          <w:highlight w:val="none"/>
          <w:u w:val="single"/>
          <w:lang w:eastAsia="zh-CN"/>
        </w:rPr>
        <w:t>上海市松江区土地储备和土地整理中心</w:t>
      </w:r>
      <w:r>
        <w:rPr>
          <w:rFonts w:hint="eastAsia" w:cs="Arial"/>
          <w:highlight w:val="none"/>
        </w:rPr>
        <w:t>单位的</w:t>
      </w:r>
      <w:r>
        <w:rPr>
          <w:rFonts w:hint="eastAsia" w:cs="Arial"/>
          <w:highlight w:val="none"/>
          <w:u w:val="single"/>
          <w:lang w:eastAsia="zh-CN"/>
        </w:rPr>
        <w:t>“十五五”建设用地减量化及一般耕地复垦实施方案</w:t>
      </w:r>
      <w:r>
        <w:rPr>
          <w:rFonts w:hint="eastAsia" w:cs="Arial"/>
          <w:highlight w:val="none"/>
        </w:rPr>
        <w:t>采购活动，服务全部由符合政策要求的中小企业承接。相关企业的具体情况如下：</w:t>
      </w:r>
    </w:p>
    <w:p w14:paraId="6DC54BB6">
      <w:pPr>
        <w:pStyle w:val="21"/>
        <w:numPr>
          <w:ilvl w:val="255"/>
          <w:numId w:val="0"/>
        </w:numPr>
        <w:tabs>
          <w:tab w:val="left" w:pos="0"/>
        </w:tabs>
        <w:adjustRightInd w:val="0"/>
        <w:spacing w:line="360" w:lineRule="auto"/>
        <w:ind w:left="0" w:leftChars="0" w:firstLine="480" w:firstLineChars="200"/>
        <w:textAlignment w:val="baseline"/>
        <w:rPr>
          <w:rFonts w:hint="eastAsia" w:cs="Arial"/>
          <w:highlight w:val="none"/>
          <w:u w:val="single"/>
        </w:rPr>
      </w:pPr>
      <w:r>
        <w:rPr>
          <w:rFonts w:hint="eastAsia" w:cs="Arial"/>
          <w:highlight w:val="none"/>
          <w:u w:val="single"/>
          <w:lang w:eastAsia="zh-CN"/>
        </w:rPr>
        <w:t>“十五五”建设用地减量化及一般耕地复垦实施方案</w:t>
      </w:r>
      <w:r>
        <w:rPr>
          <w:rFonts w:hint="eastAsia" w:cs="Arial"/>
          <w:highlight w:val="none"/>
        </w:rPr>
        <w:t>，属于</w:t>
      </w:r>
      <w:r>
        <w:rPr>
          <w:rFonts w:hint="eastAsia" w:cs="Arial"/>
          <w:highlight w:val="none"/>
          <w:u w:val="single"/>
        </w:rPr>
        <w:t>其他未列明行业</w:t>
      </w:r>
      <w:r>
        <w:rPr>
          <w:rFonts w:hint="eastAsia" w:cs="Arial"/>
          <w:highlight w:val="none"/>
        </w:rPr>
        <w:t>；承接企业为</w:t>
      </w:r>
      <w:r>
        <w:rPr>
          <w:rFonts w:hint="eastAsia" w:cs="Arial"/>
          <w:highlight w:val="none"/>
          <w:u w:val="single"/>
        </w:rPr>
        <w:t xml:space="preserve">     </w:t>
      </w:r>
      <w:r>
        <w:rPr>
          <w:rFonts w:hint="eastAsia" w:cs="Arial"/>
          <w:highlight w:val="none"/>
        </w:rPr>
        <w:t>，从业人员</w:t>
      </w:r>
      <w:r>
        <w:rPr>
          <w:rFonts w:hint="eastAsia" w:cs="Arial"/>
          <w:highlight w:val="none"/>
          <w:u w:val="single"/>
        </w:rPr>
        <w:t xml:space="preserve">        </w:t>
      </w:r>
      <w:r>
        <w:rPr>
          <w:rFonts w:hint="eastAsia" w:cs="Arial"/>
          <w:highlight w:val="none"/>
        </w:rPr>
        <w:t>人，营业收入为</w:t>
      </w:r>
      <w:r>
        <w:rPr>
          <w:rFonts w:hint="eastAsia" w:cs="Arial"/>
          <w:highlight w:val="none"/>
          <w:u w:val="single"/>
        </w:rPr>
        <w:t xml:space="preserve">     </w:t>
      </w:r>
      <w:r>
        <w:rPr>
          <w:rFonts w:hint="eastAsia" w:cs="Arial"/>
          <w:highlight w:val="none"/>
        </w:rPr>
        <w:t>万元，资产总额为</w:t>
      </w:r>
      <w:r>
        <w:rPr>
          <w:rFonts w:hint="eastAsia" w:cs="Arial"/>
          <w:highlight w:val="none"/>
          <w:u w:val="single"/>
        </w:rPr>
        <w:t xml:space="preserve">     </w:t>
      </w:r>
      <w:r>
        <w:rPr>
          <w:rFonts w:hint="eastAsia" w:cs="Arial"/>
          <w:highlight w:val="none"/>
        </w:rPr>
        <w:t>万元，属于</w:t>
      </w:r>
      <w:r>
        <w:rPr>
          <w:rFonts w:hint="eastAsia" w:cs="Arial"/>
          <w:highlight w:val="none"/>
          <w:u w:val="single"/>
        </w:rPr>
        <w:t>（中型企业、小型企业、微型企业）；</w:t>
      </w:r>
    </w:p>
    <w:p w14:paraId="44F66BEC">
      <w:pPr>
        <w:shd w:val="clear"/>
        <w:spacing w:before="100" w:beforeAutospacing="1" w:after="100" w:afterAutospacing="1" w:line="360" w:lineRule="auto"/>
        <w:ind w:firstLine="420"/>
        <w:rPr>
          <w:rFonts w:hint="eastAsia" w:cs="Arial"/>
          <w:color w:val="auto"/>
          <w:highlight w:val="none"/>
        </w:rPr>
      </w:pPr>
      <w:r>
        <w:rPr>
          <w:rFonts w:hint="eastAsia" w:cs="Arial"/>
          <w:color w:val="auto"/>
          <w:highlight w:val="none"/>
        </w:rPr>
        <w:t>以上企业，</w:t>
      </w:r>
      <w:r>
        <w:rPr>
          <w:rFonts w:hint="eastAsia"/>
          <w:b/>
          <w:bCs/>
          <w:color w:val="auto"/>
          <w:sz w:val="24"/>
          <w:szCs w:val="24"/>
          <w:highlight w:val="none"/>
          <w:u w:val="single"/>
          <w:lang w:eastAsia="zh-CN"/>
        </w:rPr>
        <w:t>【</w:t>
      </w:r>
      <w:r>
        <w:rPr>
          <w:rFonts w:hint="eastAsia"/>
          <w:b/>
          <w:bCs/>
          <w:color w:val="auto"/>
          <w:sz w:val="24"/>
          <w:szCs w:val="24"/>
          <w:highlight w:val="none"/>
          <w:u w:val="single"/>
        </w:rPr>
        <w:sym w:font="Wingdings 2" w:char="00A3"/>
      </w:r>
      <w:r>
        <w:rPr>
          <w:rFonts w:hint="eastAsia"/>
          <w:b/>
          <w:bCs/>
          <w:color w:val="auto"/>
          <w:sz w:val="24"/>
          <w:szCs w:val="24"/>
          <w:highlight w:val="none"/>
          <w:u w:val="single"/>
          <w:lang w:val="en-US" w:eastAsia="zh-CN"/>
        </w:rPr>
        <w:t>属于</w:t>
      </w:r>
      <w:r>
        <w:rPr>
          <w:rFonts w:hint="eastAsia"/>
          <w:b/>
          <w:bCs/>
          <w:color w:val="auto"/>
          <w:sz w:val="24"/>
          <w:szCs w:val="24"/>
          <w:highlight w:val="none"/>
          <w:u w:val="single"/>
        </w:rPr>
        <w:sym w:font="Wingdings 2" w:char="00A3"/>
      </w:r>
      <w:r>
        <w:rPr>
          <w:rFonts w:hint="eastAsia"/>
          <w:b/>
          <w:bCs/>
          <w:color w:val="auto"/>
          <w:sz w:val="24"/>
          <w:szCs w:val="24"/>
          <w:highlight w:val="none"/>
          <w:u w:val="single"/>
        </w:rPr>
        <w:t>不属于</w:t>
      </w:r>
      <w:r>
        <w:rPr>
          <w:rFonts w:hint="eastAsia"/>
          <w:b/>
          <w:bCs/>
          <w:color w:val="auto"/>
          <w:sz w:val="24"/>
          <w:szCs w:val="24"/>
          <w:highlight w:val="none"/>
          <w:u w:val="single"/>
          <w:lang w:eastAsia="zh-CN"/>
        </w:rPr>
        <w:t>】</w:t>
      </w:r>
      <w:r>
        <w:rPr>
          <w:rFonts w:hint="eastAsia"/>
          <w:b/>
          <w:bCs/>
          <w:i/>
          <w:iCs/>
          <w:color w:val="auto"/>
          <w:sz w:val="24"/>
          <w:szCs w:val="24"/>
          <w:highlight w:val="none"/>
          <w:u w:val="single"/>
          <w:lang w:eastAsia="zh-CN"/>
        </w:rPr>
        <w:t>（</w:t>
      </w:r>
      <w:r>
        <w:rPr>
          <w:rFonts w:hint="eastAsia"/>
          <w:b/>
          <w:bCs/>
          <w:i/>
          <w:iCs/>
          <w:color w:val="auto"/>
          <w:sz w:val="24"/>
          <w:szCs w:val="24"/>
          <w:highlight w:val="none"/>
          <w:u w:val="single"/>
          <w:lang w:val="en-US" w:eastAsia="zh-CN"/>
        </w:rPr>
        <w:t>请勾选）</w:t>
      </w:r>
      <w:r>
        <w:rPr>
          <w:rFonts w:hint="eastAsia"/>
          <w:b/>
          <w:bCs/>
          <w:color w:val="auto"/>
          <w:sz w:val="24"/>
          <w:szCs w:val="24"/>
          <w:highlight w:val="none"/>
        </w:rPr>
        <w:t>大企业的分支机构，</w:t>
      </w:r>
      <w:r>
        <w:rPr>
          <w:rFonts w:hint="eastAsia"/>
          <w:b/>
          <w:bCs/>
          <w:color w:val="auto"/>
          <w:sz w:val="24"/>
          <w:szCs w:val="24"/>
          <w:highlight w:val="none"/>
          <w:u w:val="single"/>
          <w:lang w:eastAsia="zh-CN"/>
        </w:rPr>
        <w:t>【</w:t>
      </w:r>
      <w:r>
        <w:rPr>
          <w:rFonts w:hint="eastAsia"/>
          <w:b/>
          <w:bCs/>
          <w:color w:val="auto"/>
          <w:sz w:val="24"/>
          <w:szCs w:val="24"/>
          <w:highlight w:val="none"/>
          <w:u w:val="single"/>
        </w:rPr>
        <w:sym w:font="Wingdings 2" w:char="00A3"/>
      </w:r>
      <w:r>
        <w:rPr>
          <w:rFonts w:hint="eastAsia"/>
          <w:b/>
          <w:bCs/>
          <w:color w:val="auto"/>
          <w:sz w:val="24"/>
          <w:szCs w:val="24"/>
          <w:highlight w:val="none"/>
          <w:u w:val="single"/>
          <w:lang w:val="en-US" w:eastAsia="zh-CN"/>
        </w:rPr>
        <w:t>存在</w:t>
      </w:r>
      <w:r>
        <w:rPr>
          <w:rFonts w:hint="eastAsia"/>
          <w:b/>
          <w:bCs/>
          <w:color w:val="auto"/>
          <w:sz w:val="24"/>
          <w:szCs w:val="24"/>
          <w:highlight w:val="none"/>
          <w:u w:val="single"/>
        </w:rPr>
        <w:sym w:font="Wingdings 2" w:char="00A3"/>
      </w:r>
      <w:r>
        <w:rPr>
          <w:rFonts w:hint="eastAsia"/>
          <w:b/>
          <w:bCs/>
          <w:color w:val="auto"/>
          <w:sz w:val="24"/>
          <w:szCs w:val="24"/>
          <w:highlight w:val="none"/>
          <w:u w:val="single"/>
        </w:rPr>
        <w:t>不存在</w:t>
      </w:r>
      <w:r>
        <w:rPr>
          <w:rFonts w:hint="eastAsia"/>
          <w:b/>
          <w:bCs/>
          <w:color w:val="auto"/>
          <w:sz w:val="24"/>
          <w:szCs w:val="24"/>
          <w:highlight w:val="none"/>
          <w:u w:val="single"/>
          <w:lang w:eastAsia="zh-CN"/>
        </w:rPr>
        <w:t>】</w:t>
      </w:r>
      <w:r>
        <w:rPr>
          <w:rFonts w:hint="eastAsia"/>
          <w:b/>
          <w:bCs/>
          <w:i/>
          <w:iCs/>
          <w:color w:val="auto"/>
          <w:sz w:val="24"/>
          <w:szCs w:val="24"/>
          <w:highlight w:val="none"/>
          <w:u w:val="single"/>
          <w:lang w:eastAsia="zh-CN"/>
        </w:rPr>
        <w:t>（</w:t>
      </w:r>
      <w:r>
        <w:rPr>
          <w:rFonts w:hint="eastAsia"/>
          <w:b/>
          <w:bCs/>
          <w:i/>
          <w:iCs/>
          <w:color w:val="auto"/>
          <w:sz w:val="24"/>
          <w:szCs w:val="24"/>
          <w:highlight w:val="none"/>
          <w:u w:val="single"/>
          <w:lang w:val="en-US" w:eastAsia="zh-CN"/>
        </w:rPr>
        <w:t>请勾选）</w:t>
      </w:r>
      <w:r>
        <w:rPr>
          <w:rFonts w:hint="eastAsia"/>
          <w:b/>
          <w:bCs/>
          <w:color w:val="auto"/>
          <w:sz w:val="24"/>
          <w:szCs w:val="24"/>
          <w:highlight w:val="none"/>
        </w:rPr>
        <w:t>控股股东为大企业的情形，</w:t>
      </w:r>
      <w:r>
        <w:rPr>
          <w:rFonts w:hint="eastAsia"/>
          <w:b/>
          <w:bCs/>
          <w:color w:val="auto"/>
          <w:sz w:val="24"/>
          <w:szCs w:val="24"/>
          <w:highlight w:val="none"/>
          <w:u w:val="single"/>
          <w:lang w:eastAsia="zh-CN"/>
        </w:rPr>
        <w:t>【</w:t>
      </w:r>
      <w:r>
        <w:rPr>
          <w:rFonts w:hint="eastAsia"/>
          <w:b/>
          <w:bCs/>
          <w:color w:val="auto"/>
          <w:sz w:val="24"/>
          <w:szCs w:val="24"/>
          <w:highlight w:val="none"/>
          <w:u w:val="single"/>
        </w:rPr>
        <w:sym w:font="Wingdings 2" w:char="00A3"/>
      </w:r>
      <w:r>
        <w:rPr>
          <w:rFonts w:hint="eastAsia"/>
          <w:b/>
          <w:bCs/>
          <w:color w:val="auto"/>
          <w:sz w:val="24"/>
          <w:szCs w:val="24"/>
          <w:highlight w:val="none"/>
          <w:u w:val="single"/>
          <w:lang w:val="en-US" w:eastAsia="zh-CN"/>
        </w:rPr>
        <w:t>存在</w:t>
      </w:r>
      <w:r>
        <w:rPr>
          <w:rFonts w:hint="eastAsia"/>
          <w:b/>
          <w:bCs/>
          <w:color w:val="auto"/>
          <w:sz w:val="24"/>
          <w:szCs w:val="24"/>
          <w:highlight w:val="none"/>
          <w:u w:val="single"/>
        </w:rPr>
        <w:sym w:font="Wingdings 2" w:char="00A3"/>
      </w:r>
      <w:r>
        <w:rPr>
          <w:rFonts w:hint="eastAsia"/>
          <w:b/>
          <w:bCs/>
          <w:color w:val="auto"/>
          <w:sz w:val="24"/>
          <w:szCs w:val="24"/>
          <w:highlight w:val="none"/>
          <w:u w:val="single"/>
        </w:rPr>
        <w:t>不存在</w:t>
      </w:r>
      <w:r>
        <w:rPr>
          <w:rFonts w:hint="eastAsia"/>
          <w:b/>
          <w:bCs/>
          <w:color w:val="auto"/>
          <w:sz w:val="24"/>
          <w:szCs w:val="24"/>
          <w:highlight w:val="none"/>
          <w:u w:val="single"/>
          <w:lang w:eastAsia="zh-CN"/>
        </w:rPr>
        <w:t>】</w:t>
      </w:r>
      <w:r>
        <w:rPr>
          <w:rFonts w:hint="eastAsia"/>
          <w:b/>
          <w:bCs/>
          <w:i/>
          <w:iCs/>
          <w:color w:val="auto"/>
          <w:sz w:val="24"/>
          <w:szCs w:val="24"/>
          <w:highlight w:val="none"/>
          <w:u w:val="single"/>
          <w:lang w:eastAsia="zh-CN"/>
        </w:rPr>
        <w:t>（</w:t>
      </w:r>
      <w:r>
        <w:rPr>
          <w:rFonts w:hint="eastAsia"/>
          <w:b/>
          <w:bCs/>
          <w:i/>
          <w:iCs/>
          <w:color w:val="auto"/>
          <w:sz w:val="24"/>
          <w:szCs w:val="24"/>
          <w:highlight w:val="none"/>
          <w:u w:val="single"/>
          <w:lang w:val="en-US" w:eastAsia="zh-CN"/>
        </w:rPr>
        <w:t>请勾选）</w:t>
      </w:r>
      <w:r>
        <w:rPr>
          <w:rFonts w:hint="eastAsia"/>
          <w:b/>
          <w:bCs/>
          <w:color w:val="auto"/>
          <w:sz w:val="24"/>
          <w:szCs w:val="24"/>
          <w:highlight w:val="none"/>
        </w:rPr>
        <w:t>与大企业的负责人为同一人的情形。</w:t>
      </w:r>
    </w:p>
    <w:p w14:paraId="3C970F61">
      <w:pPr>
        <w:pStyle w:val="21"/>
        <w:spacing w:line="360" w:lineRule="auto"/>
        <w:ind w:firstLine="480"/>
        <w:rPr>
          <w:rFonts w:hint="eastAsia"/>
          <w:highlight w:val="none"/>
        </w:rPr>
      </w:pPr>
      <w:r>
        <w:rPr>
          <w:rFonts w:hint="eastAsia"/>
          <w:highlight w:val="none"/>
        </w:rPr>
        <w:t>对上述声明内容的真实性负责。如有虚假，将依法承担相应责任。</w:t>
      </w:r>
    </w:p>
    <w:p w14:paraId="0A35E37E">
      <w:pPr>
        <w:spacing w:before="100" w:beforeAutospacing="1" w:after="100" w:afterAutospacing="1" w:line="360" w:lineRule="auto"/>
        <w:rPr>
          <w:rFonts w:hint="eastAsia" w:cs="Arial"/>
          <w:highlight w:val="none"/>
        </w:rPr>
      </w:pPr>
      <w:r>
        <w:rPr>
          <w:rFonts w:hint="eastAsia" w:cs="Arial"/>
          <w:highlight w:val="none"/>
        </w:rPr>
        <w:t>企业名称（盖章）：　　　　　　　　　</w:t>
      </w:r>
    </w:p>
    <w:p w14:paraId="506517CA">
      <w:pPr>
        <w:spacing w:before="100" w:beforeAutospacing="1" w:after="100" w:afterAutospacing="1" w:line="360" w:lineRule="auto"/>
        <w:rPr>
          <w:rFonts w:hint="eastAsia" w:cs="Arial"/>
          <w:highlight w:val="none"/>
        </w:rPr>
      </w:pPr>
      <w:r>
        <w:rPr>
          <w:rFonts w:hint="eastAsia" w:cs="Arial"/>
          <w:highlight w:val="none"/>
        </w:rPr>
        <w:t>日　　　　　　期：</w:t>
      </w:r>
    </w:p>
    <w:p w14:paraId="514E7101">
      <w:pPr>
        <w:spacing w:line="360" w:lineRule="auto"/>
        <w:rPr>
          <w:rFonts w:hint="eastAsia"/>
          <w:highlight w:val="none"/>
        </w:rPr>
      </w:pPr>
    </w:p>
    <w:p w14:paraId="49521E49">
      <w:pPr>
        <w:spacing w:line="360" w:lineRule="auto"/>
        <w:rPr>
          <w:rFonts w:hint="eastAsia"/>
          <w:sz w:val="21"/>
          <w:szCs w:val="21"/>
          <w:highlight w:val="none"/>
        </w:rPr>
      </w:pPr>
      <w:r>
        <w:rPr>
          <w:rFonts w:hint="eastAsia"/>
          <w:sz w:val="21"/>
          <w:szCs w:val="21"/>
          <w:highlight w:val="none"/>
        </w:rPr>
        <w:t>注：1、依据现有规范性文件规定，事业单位、团体组织等非企业性质的政府采购投标人，不属于中小企业划型标准确定的中小企业，不享受中小企业扶持政策，不得按通知规定声明为中小微企业，也不适用《政府采购促进中小企业发展管理办法》，可无需填写本声明函，但事业单位、社会组织等非企业主体提供全部由中小企业制造的货物参加货物采购项目的除外），事业单位直接控股和管理的企业，依据中小企业划型标准认定其企业类型。</w:t>
      </w:r>
    </w:p>
    <w:p w14:paraId="6E60B813">
      <w:pPr>
        <w:spacing w:line="360" w:lineRule="auto"/>
        <w:rPr>
          <w:rFonts w:hint="eastAsia"/>
          <w:sz w:val="21"/>
          <w:szCs w:val="21"/>
          <w:highlight w:val="none"/>
        </w:rPr>
      </w:pPr>
      <w:r>
        <w:rPr>
          <w:sz w:val="21"/>
          <w:szCs w:val="21"/>
          <w:highlight w:val="none"/>
        </w:rPr>
        <w:t>2</w:t>
      </w:r>
      <w:r>
        <w:rPr>
          <w:rFonts w:hint="eastAsia"/>
          <w:sz w:val="21"/>
          <w:szCs w:val="21"/>
          <w:highlight w:val="none"/>
        </w:rPr>
        <w:t>、与大企业的负责人为同一人，或者与大企业存在直接控股、管理关系的中小企业，不享受中小企业扶持政策。大企业是指按照其自身所属行业和对应的中小企业划型标准，属于大型企业的企业。</w:t>
      </w:r>
    </w:p>
    <w:p w14:paraId="0F829DC7">
      <w:pPr>
        <w:spacing w:line="360" w:lineRule="auto"/>
        <w:rPr>
          <w:rFonts w:hint="eastAsia"/>
          <w:sz w:val="21"/>
          <w:szCs w:val="21"/>
          <w:highlight w:val="none"/>
        </w:rPr>
      </w:pPr>
      <w:r>
        <w:rPr>
          <w:rFonts w:hint="eastAsia"/>
          <w:sz w:val="21"/>
          <w:szCs w:val="21"/>
          <w:highlight w:val="none"/>
        </w:rPr>
        <w:t>3、符合中小企业划型标准的</w:t>
      </w:r>
      <w:r>
        <w:rPr>
          <w:rFonts w:hint="eastAsia"/>
          <w:b/>
          <w:bCs/>
          <w:sz w:val="21"/>
          <w:szCs w:val="21"/>
          <w:highlight w:val="none"/>
        </w:rPr>
        <w:t>个体工商户视同中小企业</w:t>
      </w:r>
      <w:r>
        <w:rPr>
          <w:rFonts w:hint="eastAsia"/>
          <w:sz w:val="21"/>
          <w:szCs w:val="21"/>
          <w:highlight w:val="none"/>
        </w:rPr>
        <w:t>，</w:t>
      </w:r>
      <w:r>
        <w:rPr>
          <w:rFonts w:hint="eastAsia"/>
          <w:b/>
          <w:bCs/>
          <w:sz w:val="21"/>
          <w:szCs w:val="21"/>
          <w:highlight w:val="none"/>
        </w:rPr>
        <w:t>残疾人福利性单位和监狱企业（含戒毒企业）视同小微企业</w:t>
      </w:r>
      <w:r>
        <w:rPr>
          <w:rFonts w:hint="eastAsia"/>
          <w:sz w:val="21"/>
          <w:szCs w:val="21"/>
          <w:highlight w:val="none"/>
        </w:rPr>
        <w:t>。</w:t>
      </w:r>
    </w:p>
    <w:p w14:paraId="20EB8BEC">
      <w:pPr>
        <w:spacing w:line="360" w:lineRule="auto"/>
        <w:rPr>
          <w:rFonts w:hint="eastAsia"/>
          <w:sz w:val="21"/>
          <w:szCs w:val="21"/>
          <w:highlight w:val="none"/>
        </w:rPr>
      </w:pPr>
      <w:r>
        <w:rPr>
          <w:sz w:val="21"/>
          <w:szCs w:val="21"/>
          <w:highlight w:val="none"/>
        </w:rPr>
        <w:t>4</w:t>
      </w:r>
      <w:r>
        <w:rPr>
          <w:rFonts w:hint="eastAsia"/>
          <w:sz w:val="21"/>
          <w:szCs w:val="21"/>
          <w:highlight w:val="none"/>
        </w:rPr>
        <w:t>、供应商符合中小企业条件的，应当按照《中小企业声明函》格式，如实、完整填报从业人员、营业收入和资产总额等信息，并按照国务院批准的中小企业划型标准和采购标的所属行业，声明企业类型。货物采购项目应当对制造商进行声明，工程和服务采购项目应当对供应商进行声明。采购项目涉及多个采购标的（主要采购标的，不包括配件、辅料等）且由不同制造商制造或者由不同供应商承建（承接）的，应当逐一填报每个采购标的的制造商或者承建（承接）供应商信息。</w:t>
      </w:r>
    </w:p>
    <w:p w14:paraId="0763B228">
      <w:pPr>
        <w:pStyle w:val="23"/>
        <w:spacing w:line="360" w:lineRule="auto"/>
        <w:rPr>
          <w:rFonts w:hint="eastAsia"/>
          <w:sz w:val="21"/>
          <w:szCs w:val="21"/>
          <w:highlight w:val="none"/>
        </w:rPr>
      </w:pPr>
    </w:p>
    <w:p w14:paraId="16B65EB5">
      <w:pPr>
        <w:pStyle w:val="23"/>
        <w:spacing w:line="360" w:lineRule="auto"/>
        <w:rPr>
          <w:rFonts w:hint="eastAsia"/>
          <w:sz w:val="21"/>
          <w:szCs w:val="21"/>
          <w:highlight w:val="none"/>
        </w:rPr>
      </w:pPr>
    </w:p>
    <w:p w14:paraId="6D5C05BD">
      <w:pPr>
        <w:pStyle w:val="23"/>
        <w:spacing w:line="360" w:lineRule="auto"/>
        <w:rPr>
          <w:rFonts w:hint="eastAsia"/>
          <w:sz w:val="21"/>
          <w:szCs w:val="21"/>
          <w:highlight w:val="none"/>
        </w:rPr>
      </w:pPr>
    </w:p>
    <w:p w14:paraId="7E552881">
      <w:pPr>
        <w:spacing w:line="360" w:lineRule="auto"/>
        <w:ind w:firstLine="420"/>
        <w:rPr>
          <w:rFonts w:hint="eastAsia" w:cs="Arial"/>
          <w:sz w:val="21"/>
          <w:szCs w:val="21"/>
          <w:highlight w:val="none"/>
        </w:rPr>
      </w:pPr>
      <w:r>
        <w:rPr>
          <w:rFonts w:hint="eastAsia" w:cs="Arial"/>
          <w:sz w:val="21"/>
          <w:szCs w:val="21"/>
          <w:highlight w:val="none"/>
        </w:rPr>
        <w:t>附：</w:t>
      </w:r>
      <w:r>
        <w:rPr>
          <w:rFonts w:hint="eastAsia" w:ascii="微软雅黑" w:hAnsi="微软雅黑" w:eastAsia="微软雅黑" w:cs="Arial"/>
          <w:color w:val="333333"/>
          <w:sz w:val="21"/>
          <w:szCs w:val="21"/>
          <w:highlight w:val="none"/>
        </w:rPr>
        <w:t>中小企业划型标准规定</w:t>
      </w:r>
    </w:p>
    <w:p w14:paraId="23FFDF04">
      <w:pPr>
        <w:spacing w:line="360" w:lineRule="auto"/>
        <w:ind w:firstLine="420" w:firstLineChars="200"/>
        <w:rPr>
          <w:rFonts w:hint="eastAsia" w:cs="Arial"/>
          <w:sz w:val="21"/>
          <w:szCs w:val="21"/>
          <w:highlight w:val="none"/>
        </w:rPr>
      </w:pPr>
      <w:r>
        <w:rPr>
          <w:rFonts w:hint="eastAsia" w:cs="Arial"/>
          <w:sz w:val="21"/>
          <w:szCs w:val="21"/>
          <w:highlight w:val="none"/>
        </w:rPr>
        <w:t>（一）农、林、牧、渔业。营业收入20000万元以下的为中小微型企业。其中，营业收入500万元及以上的为中型企业，营业收入50万元及以上的为小型企业，营业收入50万元以下的为微型企业。</w:t>
      </w:r>
    </w:p>
    <w:p w14:paraId="2A1B6390">
      <w:pPr>
        <w:spacing w:line="360" w:lineRule="auto"/>
        <w:ind w:firstLine="420" w:firstLineChars="200"/>
        <w:rPr>
          <w:rFonts w:hint="eastAsia" w:cs="Arial"/>
          <w:sz w:val="21"/>
          <w:szCs w:val="21"/>
          <w:highlight w:val="none"/>
        </w:rPr>
      </w:pPr>
      <w:r>
        <w:rPr>
          <w:rFonts w:hint="eastAsia" w:cs="Arial"/>
          <w:sz w:val="21"/>
          <w:szCs w:val="21"/>
          <w:highlight w:val="none"/>
        </w:rPr>
        <w:t xml:space="preserve">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7C74D3F">
      <w:pPr>
        <w:spacing w:line="360" w:lineRule="auto"/>
        <w:ind w:firstLine="420" w:firstLineChars="200"/>
        <w:rPr>
          <w:rFonts w:hint="eastAsia" w:cs="Arial"/>
          <w:sz w:val="21"/>
          <w:szCs w:val="21"/>
          <w:highlight w:val="none"/>
        </w:rPr>
      </w:pPr>
      <w:r>
        <w:rPr>
          <w:rFonts w:hint="eastAsia" w:cs="Arial"/>
          <w:sz w:val="21"/>
          <w:szCs w:val="21"/>
          <w:highlight w:val="none"/>
        </w:rPr>
        <w:t xml:space="preserve">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3EB6419">
      <w:pPr>
        <w:spacing w:line="360" w:lineRule="auto"/>
        <w:ind w:firstLine="420" w:firstLineChars="200"/>
        <w:rPr>
          <w:rFonts w:hint="eastAsia" w:cs="Arial"/>
          <w:sz w:val="21"/>
          <w:szCs w:val="21"/>
          <w:highlight w:val="none"/>
        </w:rPr>
      </w:pPr>
      <w:r>
        <w:rPr>
          <w:rFonts w:hint="eastAsia" w:cs="Arial"/>
          <w:sz w:val="21"/>
          <w:szCs w:val="21"/>
          <w:highlight w:val="none"/>
        </w:rPr>
        <w:t xml:space="preserve">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86BD072">
      <w:pPr>
        <w:spacing w:line="360" w:lineRule="auto"/>
        <w:ind w:firstLine="420" w:firstLineChars="200"/>
        <w:rPr>
          <w:rFonts w:hint="eastAsia" w:cs="Arial"/>
          <w:sz w:val="21"/>
          <w:szCs w:val="21"/>
          <w:highlight w:val="none"/>
        </w:rPr>
      </w:pPr>
      <w:r>
        <w:rPr>
          <w:rFonts w:hint="eastAsia" w:cs="Arial"/>
          <w:sz w:val="21"/>
          <w:szCs w:val="21"/>
          <w:highlight w:val="none"/>
        </w:rPr>
        <w:t xml:space="preserve">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B289C8E">
      <w:pPr>
        <w:spacing w:line="360" w:lineRule="auto"/>
        <w:ind w:firstLine="420" w:firstLineChars="200"/>
        <w:rPr>
          <w:rFonts w:hint="eastAsia" w:cs="Arial"/>
          <w:sz w:val="21"/>
          <w:szCs w:val="21"/>
          <w:highlight w:val="none"/>
        </w:rPr>
      </w:pPr>
      <w:r>
        <w:rPr>
          <w:rFonts w:hint="eastAsia" w:cs="Arial"/>
          <w:sz w:val="21"/>
          <w:szCs w:val="21"/>
          <w:highlight w:val="none"/>
        </w:rPr>
        <w:t xml:space="preserve">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00A9FB8">
      <w:pPr>
        <w:spacing w:line="360" w:lineRule="auto"/>
        <w:ind w:firstLine="420" w:firstLineChars="200"/>
        <w:rPr>
          <w:rFonts w:hint="eastAsia" w:cs="Arial"/>
          <w:sz w:val="21"/>
          <w:szCs w:val="21"/>
          <w:highlight w:val="none"/>
        </w:rPr>
      </w:pPr>
      <w:r>
        <w:rPr>
          <w:rFonts w:hint="eastAsia" w:cs="Arial"/>
          <w:sz w:val="21"/>
          <w:szCs w:val="21"/>
          <w:highlight w:val="none"/>
        </w:rPr>
        <w:t xml:space="preserve">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29E2F29">
      <w:pPr>
        <w:spacing w:line="360" w:lineRule="auto"/>
        <w:ind w:firstLine="420" w:firstLineChars="200"/>
        <w:rPr>
          <w:rFonts w:hint="eastAsia" w:cs="Arial"/>
          <w:sz w:val="21"/>
          <w:szCs w:val="21"/>
          <w:highlight w:val="none"/>
        </w:rPr>
      </w:pPr>
      <w:r>
        <w:rPr>
          <w:rFonts w:hint="eastAsia" w:cs="Arial"/>
          <w:sz w:val="21"/>
          <w:szCs w:val="21"/>
          <w:highlight w:val="none"/>
        </w:rPr>
        <w:t xml:space="preserve">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2983FF27">
      <w:pPr>
        <w:spacing w:line="360" w:lineRule="auto"/>
        <w:ind w:firstLine="420" w:firstLineChars="200"/>
        <w:rPr>
          <w:rFonts w:hint="eastAsia" w:cs="Arial"/>
          <w:sz w:val="21"/>
          <w:szCs w:val="21"/>
          <w:highlight w:val="none"/>
        </w:rPr>
      </w:pPr>
      <w:r>
        <w:rPr>
          <w:rFonts w:hint="eastAsia" w:cs="Arial"/>
          <w:sz w:val="21"/>
          <w:szCs w:val="21"/>
          <w:highlight w:val="none"/>
        </w:rPr>
        <w:t xml:space="preserve">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7E04B0B">
      <w:pPr>
        <w:spacing w:line="360" w:lineRule="auto"/>
        <w:ind w:firstLine="420" w:firstLineChars="200"/>
        <w:rPr>
          <w:rFonts w:hint="eastAsia" w:cs="Arial"/>
          <w:sz w:val="21"/>
          <w:szCs w:val="21"/>
          <w:highlight w:val="none"/>
        </w:rPr>
      </w:pPr>
      <w:r>
        <w:rPr>
          <w:rFonts w:hint="eastAsia" w:cs="Arial"/>
          <w:sz w:val="21"/>
          <w:szCs w:val="21"/>
          <w:highlight w:val="none"/>
        </w:rPr>
        <w:t xml:space="preserve">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2ABB09A">
      <w:pPr>
        <w:spacing w:line="360" w:lineRule="auto"/>
        <w:ind w:firstLine="420" w:firstLineChars="200"/>
        <w:rPr>
          <w:rFonts w:hint="eastAsia" w:cs="Arial"/>
          <w:sz w:val="21"/>
          <w:szCs w:val="21"/>
          <w:highlight w:val="none"/>
        </w:rPr>
      </w:pPr>
      <w:r>
        <w:rPr>
          <w:rFonts w:hint="eastAsia" w:cs="Arial"/>
          <w:sz w:val="21"/>
          <w:szCs w:val="21"/>
          <w:highlight w:val="none"/>
        </w:rPr>
        <w:t xml:space="preserve">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FA2C1FD">
      <w:pPr>
        <w:spacing w:line="360" w:lineRule="auto"/>
        <w:ind w:firstLine="420" w:firstLineChars="200"/>
        <w:rPr>
          <w:rFonts w:hint="eastAsia" w:cs="Arial"/>
          <w:sz w:val="21"/>
          <w:szCs w:val="21"/>
          <w:highlight w:val="none"/>
        </w:rPr>
      </w:pPr>
      <w:r>
        <w:rPr>
          <w:rFonts w:hint="eastAsia" w:cs="Arial"/>
          <w:sz w:val="21"/>
          <w:szCs w:val="21"/>
          <w:highlight w:val="none"/>
        </w:rPr>
        <w:t xml:space="preserve">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1F8C9AC">
      <w:pPr>
        <w:spacing w:line="360" w:lineRule="auto"/>
        <w:ind w:firstLine="420" w:firstLineChars="200"/>
        <w:rPr>
          <w:rFonts w:hint="eastAsia" w:cs="Arial"/>
          <w:sz w:val="21"/>
          <w:szCs w:val="21"/>
          <w:highlight w:val="none"/>
        </w:rPr>
      </w:pPr>
      <w:r>
        <w:rPr>
          <w:rFonts w:hint="eastAsia" w:cs="Arial"/>
          <w:sz w:val="21"/>
          <w:szCs w:val="21"/>
          <w:highlight w:val="none"/>
        </w:rPr>
        <w:t xml:space="preserve">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05DB641">
      <w:pPr>
        <w:spacing w:line="360" w:lineRule="auto"/>
        <w:ind w:firstLine="420" w:firstLineChars="200"/>
        <w:rPr>
          <w:rFonts w:hint="eastAsia" w:cs="Arial"/>
          <w:sz w:val="21"/>
          <w:szCs w:val="21"/>
          <w:highlight w:val="none"/>
        </w:rPr>
      </w:pPr>
      <w:r>
        <w:rPr>
          <w:rFonts w:hint="eastAsia" w:cs="Arial"/>
          <w:sz w:val="21"/>
          <w:szCs w:val="21"/>
          <w:highlight w:val="none"/>
        </w:rPr>
        <w:t xml:space="preserve">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5625D5AC">
      <w:pPr>
        <w:spacing w:line="360" w:lineRule="auto"/>
        <w:ind w:firstLine="420" w:firstLineChars="200"/>
        <w:rPr>
          <w:rFonts w:hint="eastAsia" w:cs="Arial"/>
          <w:sz w:val="21"/>
          <w:szCs w:val="21"/>
          <w:highlight w:val="none"/>
        </w:rPr>
      </w:pPr>
      <w:r>
        <w:rPr>
          <w:rFonts w:hint="eastAsia" w:cs="Arial"/>
          <w:sz w:val="21"/>
          <w:szCs w:val="21"/>
          <w:highlight w:val="none"/>
        </w:rPr>
        <w:t xml:space="preserve">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482FD48">
      <w:pPr>
        <w:spacing w:line="360" w:lineRule="auto"/>
        <w:ind w:firstLine="420" w:firstLineChars="200"/>
        <w:rPr>
          <w:rFonts w:hint="eastAsia" w:cs="Arial"/>
          <w:sz w:val="21"/>
          <w:szCs w:val="21"/>
          <w:highlight w:val="none"/>
        </w:rPr>
      </w:pPr>
      <w:r>
        <w:rPr>
          <w:rFonts w:hint="eastAsia" w:cs="Arial"/>
          <w:sz w:val="21"/>
          <w:szCs w:val="21"/>
          <w:highlight w:val="none"/>
        </w:rPr>
        <w:t xml:space="preserve">  （十六）其他未列明行业。从业人员300人以下的为中小微型企业。其中，从业人员100人及以上的为中型企业；从业人员10人及以上的为小型企业；从业人员10人以下的为微型企业。</w:t>
      </w:r>
    </w:p>
    <w:p w14:paraId="303B65CF">
      <w:pPr>
        <w:pStyle w:val="23"/>
        <w:spacing w:line="360" w:lineRule="auto"/>
        <w:rPr>
          <w:rFonts w:hint="eastAsia"/>
          <w:highlight w:val="none"/>
        </w:rPr>
      </w:pPr>
    </w:p>
    <w:p w14:paraId="71BD87F1">
      <w:pPr>
        <w:spacing w:line="360" w:lineRule="auto"/>
        <w:rPr>
          <w:rFonts w:hint="eastAsia"/>
          <w:highlight w:val="none"/>
        </w:rPr>
      </w:pPr>
      <w:r>
        <w:rPr>
          <w:highlight w:val="none"/>
        </w:rPr>
        <w:br w:type="page"/>
      </w:r>
      <w:bookmarkStart w:id="131" w:name="_Toc421880930"/>
    </w:p>
    <w:p w14:paraId="0F152F46">
      <w:pPr>
        <w:spacing w:line="360" w:lineRule="auto"/>
        <w:jc w:val="center"/>
        <w:rPr>
          <w:rFonts w:hint="eastAsia"/>
          <w:b/>
          <w:szCs w:val="21"/>
          <w:highlight w:val="none"/>
        </w:rPr>
      </w:pPr>
      <w:bookmarkStart w:id="132" w:name="_Toc72335537"/>
      <w:r>
        <w:rPr>
          <w:rFonts w:hint="eastAsia"/>
          <w:b/>
          <w:szCs w:val="20"/>
          <w:highlight w:val="none"/>
        </w:rPr>
        <w:t>十一、与投标人关联企业情况表</w:t>
      </w:r>
    </w:p>
    <w:p w14:paraId="3AC35AAF">
      <w:pPr>
        <w:autoSpaceDE w:val="0"/>
        <w:autoSpaceDN w:val="0"/>
        <w:adjustRightInd w:val="0"/>
        <w:spacing w:line="500" w:lineRule="exact"/>
        <w:ind w:firstLine="480" w:firstLineChars="200"/>
        <w:rPr>
          <w:rFonts w:hint="eastAsia"/>
          <w:szCs w:val="21"/>
          <w:highlight w:val="none"/>
        </w:rPr>
      </w:pPr>
      <w:r>
        <w:rPr>
          <w:szCs w:val="21"/>
          <w:highlight w:val="none"/>
        </w:rPr>
        <w:t>1</w:t>
      </w:r>
      <w:r>
        <w:rPr>
          <w:rFonts w:hint="eastAsia"/>
          <w:szCs w:val="21"/>
          <w:highlight w:val="none"/>
        </w:rPr>
        <w:t>、投标需按下列表式提供全部具有投资参股关系的关联企业，或具有直接管理和被管理关系的母子公司，或同一母公司的子公司，或法定代表人为同一人的法人单位名单，并承诺真实有效。</w:t>
      </w:r>
    </w:p>
    <w:tbl>
      <w:tblPr>
        <w:tblStyle w:val="37"/>
        <w:tblW w:w="94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701"/>
        <w:gridCol w:w="1640"/>
        <w:gridCol w:w="2237"/>
        <w:gridCol w:w="1614"/>
        <w:gridCol w:w="1403"/>
      </w:tblGrid>
      <w:tr w14:paraId="33278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852" w:type="dxa"/>
            <w:vAlign w:val="center"/>
          </w:tcPr>
          <w:p w14:paraId="737AC5A3">
            <w:pPr>
              <w:jc w:val="center"/>
              <w:rPr>
                <w:rFonts w:hint="eastAsia"/>
                <w:b/>
                <w:highlight w:val="none"/>
              </w:rPr>
            </w:pPr>
            <w:r>
              <w:rPr>
                <w:rFonts w:hint="eastAsia"/>
                <w:b/>
                <w:highlight w:val="none"/>
              </w:rPr>
              <w:t>序号</w:t>
            </w:r>
          </w:p>
        </w:tc>
        <w:tc>
          <w:tcPr>
            <w:tcW w:w="1701" w:type="dxa"/>
            <w:vAlign w:val="center"/>
          </w:tcPr>
          <w:p w14:paraId="47FCE4CB">
            <w:pPr>
              <w:jc w:val="center"/>
              <w:rPr>
                <w:rFonts w:hint="eastAsia"/>
                <w:b/>
                <w:highlight w:val="none"/>
              </w:rPr>
            </w:pPr>
            <w:r>
              <w:rPr>
                <w:rFonts w:hint="eastAsia"/>
                <w:b/>
                <w:highlight w:val="none"/>
              </w:rPr>
              <w:t>与投标人关系</w:t>
            </w:r>
          </w:p>
        </w:tc>
        <w:tc>
          <w:tcPr>
            <w:tcW w:w="1640" w:type="dxa"/>
            <w:vAlign w:val="center"/>
          </w:tcPr>
          <w:p w14:paraId="4BE20CD9">
            <w:pPr>
              <w:jc w:val="center"/>
              <w:rPr>
                <w:rFonts w:hint="eastAsia"/>
                <w:b/>
                <w:highlight w:val="none"/>
              </w:rPr>
            </w:pPr>
            <w:r>
              <w:rPr>
                <w:rFonts w:hint="eastAsia"/>
                <w:b/>
                <w:highlight w:val="none"/>
              </w:rPr>
              <w:t>企业名称</w:t>
            </w:r>
          </w:p>
        </w:tc>
        <w:tc>
          <w:tcPr>
            <w:tcW w:w="2237" w:type="dxa"/>
            <w:vAlign w:val="center"/>
          </w:tcPr>
          <w:p w14:paraId="3A13B726">
            <w:pPr>
              <w:jc w:val="center"/>
              <w:rPr>
                <w:rFonts w:hint="eastAsia"/>
                <w:b/>
                <w:highlight w:val="none"/>
              </w:rPr>
            </w:pPr>
            <w:r>
              <w:rPr>
                <w:rFonts w:hint="eastAsia"/>
                <w:b/>
                <w:highlight w:val="none"/>
              </w:rPr>
              <w:t>按《</w:t>
            </w:r>
            <w:r>
              <w:rPr>
                <w:b/>
                <w:highlight w:val="none"/>
              </w:rPr>
              <w:t>中小企业划型标准规定</w:t>
            </w:r>
            <w:r>
              <w:rPr>
                <w:rFonts w:hint="eastAsia"/>
                <w:b/>
                <w:highlight w:val="none"/>
              </w:rPr>
              <w:t>》的对应行业类别的企业性质（填写大型、中型、小型、微型）</w:t>
            </w:r>
          </w:p>
        </w:tc>
        <w:tc>
          <w:tcPr>
            <w:tcW w:w="1614" w:type="dxa"/>
            <w:vAlign w:val="center"/>
          </w:tcPr>
          <w:p w14:paraId="2166103D">
            <w:pPr>
              <w:jc w:val="center"/>
              <w:rPr>
                <w:rFonts w:hint="eastAsia"/>
                <w:b/>
                <w:highlight w:val="none"/>
              </w:rPr>
            </w:pPr>
            <w:r>
              <w:rPr>
                <w:rFonts w:hint="eastAsia"/>
                <w:b/>
                <w:highlight w:val="none"/>
              </w:rPr>
              <w:t>注册地址</w:t>
            </w:r>
          </w:p>
        </w:tc>
        <w:tc>
          <w:tcPr>
            <w:tcW w:w="1403" w:type="dxa"/>
            <w:vAlign w:val="center"/>
          </w:tcPr>
          <w:p w14:paraId="6389A90F">
            <w:pPr>
              <w:jc w:val="center"/>
              <w:rPr>
                <w:rFonts w:hint="eastAsia"/>
                <w:b/>
                <w:highlight w:val="none"/>
              </w:rPr>
            </w:pPr>
            <w:r>
              <w:rPr>
                <w:rFonts w:hint="eastAsia"/>
                <w:b/>
                <w:highlight w:val="none"/>
              </w:rPr>
              <w:t>法定代表人姓名</w:t>
            </w:r>
          </w:p>
        </w:tc>
      </w:tr>
      <w:tr w14:paraId="4E48D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 w:type="dxa"/>
            <w:vAlign w:val="center"/>
          </w:tcPr>
          <w:p w14:paraId="0E835EC8">
            <w:pPr>
              <w:autoSpaceDE w:val="0"/>
              <w:autoSpaceDN w:val="0"/>
              <w:adjustRightInd w:val="0"/>
              <w:spacing w:line="360" w:lineRule="auto"/>
              <w:jc w:val="center"/>
              <w:rPr>
                <w:rFonts w:hint="eastAsia"/>
                <w:highlight w:val="none"/>
              </w:rPr>
            </w:pPr>
            <w:r>
              <w:rPr>
                <w:rFonts w:hint="eastAsia"/>
                <w:highlight w:val="none"/>
              </w:rPr>
              <w:t>一</w:t>
            </w:r>
          </w:p>
        </w:tc>
        <w:tc>
          <w:tcPr>
            <w:tcW w:w="7192" w:type="dxa"/>
            <w:gridSpan w:val="4"/>
            <w:vAlign w:val="center"/>
          </w:tcPr>
          <w:p w14:paraId="60D7CDA2">
            <w:pPr>
              <w:autoSpaceDE w:val="0"/>
              <w:autoSpaceDN w:val="0"/>
              <w:adjustRightInd w:val="0"/>
              <w:spacing w:line="360" w:lineRule="auto"/>
              <w:rPr>
                <w:rFonts w:hint="eastAsia"/>
                <w:highlight w:val="none"/>
              </w:rPr>
            </w:pPr>
            <w:r>
              <w:rPr>
                <w:rFonts w:hint="eastAsia"/>
                <w:highlight w:val="none"/>
              </w:rPr>
              <w:t>具有投资参股关系的关联企业</w:t>
            </w:r>
          </w:p>
        </w:tc>
        <w:tc>
          <w:tcPr>
            <w:tcW w:w="1403" w:type="dxa"/>
            <w:vAlign w:val="center"/>
          </w:tcPr>
          <w:p w14:paraId="51F8BBC8">
            <w:pPr>
              <w:autoSpaceDE w:val="0"/>
              <w:autoSpaceDN w:val="0"/>
              <w:adjustRightInd w:val="0"/>
              <w:spacing w:line="360" w:lineRule="auto"/>
              <w:rPr>
                <w:rFonts w:hint="eastAsia"/>
                <w:highlight w:val="none"/>
              </w:rPr>
            </w:pPr>
          </w:p>
        </w:tc>
      </w:tr>
      <w:tr w14:paraId="70069F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 w:type="dxa"/>
            <w:vAlign w:val="center"/>
          </w:tcPr>
          <w:p w14:paraId="5AB21A19">
            <w:pPr>
              <w:autoSpaceDE w:val="0"/>
              <w:autoSpaceDN w:val="0"/>
              <w:adjustRightInd w:val="0"/>
              <w:spacing w:line="360" w:lineRule="auto"/>
              <w:jc w:val="center"/>
              <w:rPr>
                <w:rFonts w:hint="eastAsia"/>
                <w:highlight w:val="none"/>
              </w:rPr>
            </w:pPr>
            <w:r>
              <w:rPr>
                <w:highlight w:val="none"/>
              </w:rPr>
              <w:t>1</w:t>
            </w:r>
          </w:p>
        </w:tc>
        <w:tc>
          <w:tcPr>
            <w:tcW w:w="1701" w:type="dxa"/>
            <w:vAlign w:val="center"/>
          </w:tcPr>
          <w:p w14:paraId="7DA01050">
            <w:pPr>
              <w:autoSpaceDE w:val="0"/>
              <w:autoSpaceDN w:val="0"/>
              <w:adjustRightInd w:val="0"/>
              <w:spacing w:line="360" w:lineRule="auto"/>
              <w:jc w:val="center"/>
              <w:rPr>
                <w:rFonts w:hint="eastAsia"/>
                <w:highlight w:val="none"/>
              </w:rPr>
            </w:pPr>
            <w:r>
              <w:rPr>
                <w:highlight w:val="none"/>
              </w:rPr>
              <w:t>……</w:t>
            </w:r>
          </w:p>
        </w:tc>
        <w:tc>
          <w:tcPr>
            <w:tcW w:w="1640" w:type="dxa"/>
          </w:tcPr>
          <w:p w14:paraId="009EC819">
            <w:pPr>
              <w:autoSpaceDE w:val="0"/>
              <w:autoSpaceDN w:val="0"/>
              <w:adjustRightInd w:val="0"/>
              <w:spacing w:line="360" w:lineRule="auto"/>
              <w:rPr>
                <w:rFonts w:hint="eastAsia"/>
                <w:highlight w:val="none"/>
              </w:rPr>
            </w:pPr>
          </w:p>
        </w:tc>
        <w:tc>
          <w:tcPr>
            <w:tcW w:w="2237" w:type="dxa"/>
          </w:tcPr>
          <w:p w14:paraId="666F2472">
            <w:pPr>
              <w:autoSpaceDE w:val="0"/>
              <w:autoSpaceDN w:val="0"/>
              <w:adjustRightInd w:val="0"/>
              <w:spacing w:line="360" w:lineRule="auto"/>
              <w:rPr>
                <w:rFonts w:hint="eastAsia"/>
                <w:highlight w:val="none"/>
              </w:rPr>
            </w:pPr>
          </w:p>
        </w:tc>
        <w:tc>
          <w:tcPr>
            <w:tcW w:w="1614" w:type="dxa"/>
          </w:tcPr>
          <w:p w14:paraId="50D6208D">
            <w:pPr>
              <w:autoSpaceDE w:val="0"/>
              <w:autoSpaceDN w:val="0"/>
              <w:adjustRightInd w:val="0"/>
              <w:spacing w:line="360" w:lineRule="auto"/>
              <w:rPr>
                <w:rFonts w:hint="eastAsia"/>
                <w:highlight w:val="none"/>
              </w:rPr>
            </w:pPr>
          </w:p>
        </w:tc>
        <w:tc>
          <w:tcPr>
            <w:tcW w:w="1403" w:type="dxa"/>
          </w:tcPr>
          <w:p w14:paraId="41AB9F2F">
            <w:pPr>
              <w:autoSpaceDE w:val="0"/>
              <w:autoSpaceDN w:val="0"/>
              <w:adjustRightInd w:val="0"/>
              <w:spacing w:line="360" w:lineRule="auto"/>
              <w:rPr>
                <w:rFonts w:hint="eastAsia"/>
                <w:highlight w:val="none"/>
              </w:rPr>
            </w:pPr>
          </w:p>
        </w:tc>
      </w:tr>
      <w:tr w14:paraId="20EAC8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 w:type="dxa"/>
            <w:vAlign w:val="center"/>
          </w:tcPr>
          <w:p w14:paraId="491CDC6C">
            <w:pPr>
              <w:autoSpaceDE w:val="0"/>
              <w:autoSpaceDN w:val="0"/>
              <w:adjustRightInd w:val="0"/>
              <w:spacing w:line="360" w:lineRule="auto"/>
              <w:jc w:val="center"/>
              <w:rPr>
                <w:rFonts w:hint="eastAsia"/>
                <w:highlight w:val="none"/>
              </w:rPr>
            </w:pPr>
            <w:r>
              <w:rPr>
                <w:highlight w:val="none"/>
              </w:rPr>
              <w:t>…</w:t>
            </w:r>
          </w:p>
        </w:tc>
        <w:tc>
          <w:tcPr>
            <w:tcW w:w="1701" w:type="dxa"/>
            <w:vAlign w:val="center"/>
          </w:tcPr>
          <w:p w14:paraId="7340FE10">
            <w:pPr>
              <w:autoSpaceDE w:val="0"/>
              <w:autoSpaceDN w:val="0"/>
              <w:adjustRightInd w:val="0"/>
              <w:spacing w:line="360" w:lineRule="auto"/>
              <w:jc w:val="center"/>
              <w:rPr>
                <w:rFonts w:hint="eastAsia"/>
                <w:highlight w:val="none"/>
              </w:rPr>
            </w:pPr>
            <w:r>
              <w:rPr>
                <w:highlight w:val="none"/>
              </w:rPr>
              <w:t>……</w:t>
            </w:r>
          </w:p>
        </w:tc>
        <w:tc>
          <w:tcPr>
            <w:tcW w:w="1640" w:type="dxa"/>
          </w:tcPr>
          <w:p w14:paraId="1F5F9C0F">
            <w:pPr>
              <w:autoSpaceDE w:val="0"/>
              <w:autoSpaceDN w:val="0"/>
              <w:adjustRightInd w:val="0"/>
              <w:spacing w:line="360" w:lineRule="auto"/>
              <w:rPr>
                <w:rFonts w:hint="eastAsia"/>
                <w:highlight w:val="none"/>
              </w:rPr>
            </w:pPr>
          </w:p>
        </w:tc>
        <w:tc>
          <w:tcPr>
            <w:tcW w:w="2237" w:type="dxa"/>
          </w:tcPr>
          <w:p w14:paraId="31F2A2D3">
            <w:pPr>
              <w:autoSpaceDE w:val="0"/>
              <w:autoSpaceDN w:val="0"/>
              <w:adjustRightInd w:val="0"/>
              <w:spacing w:line="360" w:lineRule="auto"/>
              <w:rPr>
                <w:rFonts w:hint="eastAsia"/>
                <w:highlight w:val="none"/>
              </w:rPr>
            </w:pPr>
          </w:p>
        </w:tc>
        <w:tc>
          <w:tcPr>
            <w:tcW w:w="1614" w:type="dxa"/>
          </w:tcPr>
          <w:p w14:paraId="445D350B">
            <w:pPr>
              <w:autoSpaceDE w:val="0"/>
              <w:autoSpaceDN w:val="0"/>
              <w:adjustRightInd w:val="0"/>
              <w:spacing w:line="360" w:lineRule="auto"/>
              <w:rPr>
                <w:rFonts w:hint="eastAsia"/>
                <w:highlight w:val="none"/>
              </w:rPr>
            </w:pPr>
          </w:p>
        </w:tc>
        <w:tc>
          <w:tcPr>
            <w:tcW w:w="1403" w:type="dxa"/>
          </w:tcPr>
          <w:p w14:paraId="46C8D045">
            <w:pPr>
              <w:autoSpaceDE w:val="0"/>
              <w:autoSpaceDN w:val="0"/>
              <w:adjustRightInd w:val="0"/>
              <w:spacing w:line="360" w:lineRule="auto"/>
              <w:rPr>
                <w:rFonts w:hint="eastAsia"/>
                <w:highlight w:val="none"/>
              </w:rPr>
            </w:pPr>
          </w:p>
        </w:tc>
      </w:tr>
      <w:tr w14:paraId="7C917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 w:type="dxa"/>
            <w:vAlign w:val="center"/>
          </w:tcPr>
          <w:p w14:paraId="6A25285F">
            <w:pPr>
              <w:autoSpaceDE w:val="0"/>
              <w:autoSpaceDN w:val="0"/>
              <w:adjustRightInd w:val="0"/>
              <w:spacing w:line="360" w:lineRule="auto"/>
              <w:jc w:val="center"/>
              <w:rPr>
                <w:rFonts w:hint="eastAsia"/>
                <w:highlight w:val="none"/>
              </w:rPr>
            </w:pPr>
            <w:r>
              <w:rPr>
                <w:rFonts w:hint="eastAsia"/>
                <w:highlight w:val="none"/>
              </w:rPr>
              <w:t>二</w:t>
            </w:r>
          </w:p>
        </w:tc>
        <w:tc>
          <w:tcPr>
            <w:tcW w:w="7192" w:type="dxa"/>
            <w:gridSpan w:val="4"/>
            <w:vAlign w:val="center"/>
          </w:tcPr>
          <w:p w14:paraId="2E8AB98D">
            <w:pPr>
              <w:autoSpaceDE w:val="0"/>
              <w:autoSpaceDN w:val="0"/>
              <w:adjustRightInd w:val="0"/>
              <w:spacing w:line="360" w:lineRule="auto"/>
              <w:rPr>
                <w:rFonts w:hint="eastAsia"/>
                <w:highlight w:val="none"/>
              </w:rPr>
            </w:pPr>
            <w:r>
              <w:rPr>
                <w:rFonts w:hint="eastAsia"/>
                <w:highlight w:val="none"/>
              </w:rPr>
              <w:t>具有直接管理和被管理关系的母子公司</w:t>
            </w:r>
          </w:p>
        </w:tc>
        <w:tc>
          <w:tcPr>
            <w:tcW w:w="1403" w:type="dxa"/>
            <w:vAlign w:val="center"/>
          </w:tcPr>
          <w:p w14:paraId="1AFD256D">
            <w:pPr>
              <w:autoSpaceDE w:val="0"/>
              <w:autoSpaceDN w:val="0"/>
              <w:adjustRightInd w:val="0"/>
              <w:spacing w:line="360" w:lineRule="auto"/>
              <w:rPr>
                <w:rFonts w:hint="eastAsia"/>
                <w:highlight w:val="none"/>
              </w:rPr>
            </w:pPr>
          </w:p>
        </w:tc>
      </w:tr>
      <w:tr w14:paraId="78E32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 w:type="dxa"/>
            <w:vAlign w:val="center"/>
          </w:tcPr>
          <w:p w14:paraId="73FC5CF6">
            <w:pPr>
              <w:autoSpaceDE w:val="0"/>
              <w:autoSpaceDN w:val="0"/>
              <w:adjustRightInd w:val="0"/>
              <w:spacing w:line="360" w:lineRule="auto"/>
              <w:jc w:val="center"/>
              <w:rPr>
                <w:rFonts w:hint="eastAsia"/>
                <w:highlight w:val="none"/>
              </w:rPr>
            </w:pPr>
            <w:r>
              <w:rPr>
                <w:highlight w:val="none"/>
              </w:rPr>
              <w:t>1</w:t>
            </w:r>
          </w:p>
        </w:tc>
        <w:tc>
          <w:tcPr>
            <w:tcW w:w="1701" w:type="dxa"/>
            <w:vAlign w:val="center"/>
          </w:tcPr>
          <w:p w14:paraId="33872F32">
            <w:pPr>
              <w:autoSpaceDE w:val="0"/>
              <w:autoSpaceDN w:val="0"/>
              <w:adjustRightInd w:val="0"/>
              <w:spacing w:line="360" w:lineRule="auto"/>
              <w:jc w:val="center"/>
              <w:rPr>
                <w:rFonts w:hint="eastAsia"/>
                <w:highlight w:val="none"/>
              </w:rPr>
            </w:pPr>
            <w:r>
              <w:rPr>
                <w:highlight w:val="none"/>
              </w:rPr>
              <w:t>……</w:t>
            </w:r>
          </w:p>
        </w:tc>
        <w:tc>
          <w:tcPr>
            <w:tcW w:w="1640" w:type="dxa"/>
          </w:tcPr>
          <w:p w14:paraId="642A654F">
            <w:pPr>
              <w:autoSpaceDE w:val="0"/>
              <w:autoSpaceDN w:val="0"/>
              <w:adjustRightInd w:val="0"/>
              <w:spacing w:line="360" w:lineRule="auto"/>
              <w:rPr>
                <w:rFonts w:hint="eastAsia"/>
                <w:highlight w:val="none"/>
              </w:rPr>
            </w:pPr>
          </w:p>
        </w:tc>
        <w:tc>
          <w:tcPr>
            <w:tcW w:w="2237" w:type="dxa"/>
          </w:tcPr>
          <w:p w14:paraId="497D60DD">
            <w:pPr>
              <w:autoSpaceDE w:val="0"/>
              <w:autoSpaceDN w:val="0"/>
              <w:adjustRightInd w:val="0"/>
              <w:spacing w:line="360" w:lineRule="auto"/>
              <w:rPr>
                <w:rFonts w:hint="eastAsia"/>
                <w:highlight w:val="none"/>
              </w:rPr>
            </w:pPr>
          </w:p>
        </w:tc>
        <w:tc>
          <w:tcPr>
            <w:tcW w:w="1614" w:type="dxa"/>
          </w:tcPr>
          <w:p w14:paraId="69F9DDF7">
            <w:pPr>
              <w:autoSpaceDE w:val="0"/>
              <w:autoSpaceDN w:val="0"/>
              <w:adjustRightInd w:val="0"/>
              <w:spacing w:line="360" w:lineRule="auto"/>
              <w:rPr>
                <w:rFonts w:hint="eastAsia"/>
                <w:highlight w:val="none"/>
              </w:rPr>
            </w:pPr>
          </w:p>
        </w:tc>
        <w:tc>
          <w:tcPr>
            <w:tcW w:w="1403" w:type="dxa"/>
          </w:tcPr>
          <w:p w14:paraId="31C54B36">
            <w:pPr>
              <w:autoSpaceDE w:val="0"/>
              <w:autoSpaceDN w:val="0"/>
              <w:adjustRightInd w:val="0"/>
              <w:spacing w:line="360" w:lineRule="auto"/>
              <w:rPr>
                <w:rFonts w:hint="eastAsia"/>
                <w:highlight w:val="none"/>
              </w:rPr>
            </w:pPr>
          </w:p>
        </w:tc>
      </w:tr>
      <w:tr w14:paraId="4494AF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 w:type="dxa"/>
            <w:vAlign w:val="center"/>
          </w:tcPr>
          <w:p w14:paraId="3C87E40B">
            <w:pPr>
              <w:autoSpaceDE w:val="0"/>
              <w:autoSpaceDN w:val="0"/>
              <w:adjustRightInd w:val="0"/>
              <w:spacing w:line="360" w:lineRule="auto"/>
              <w:jc w:val="center"/>
              <w:rPr>
                <w:rFonts w:hint="eastAsia"/>
                <w:highlight w:val="none"/>
              </w:rPr>
            </w:pPr>
            <w:r>
              <w:rPr>
                <w:highlight w:val="none"/>
              </w:rPr>
              <w:t>…</w:t>
            </w:r>
          </w:p>
        </w:tc>
        <w:tc>
          <w:tcPr>
            <w:tcW w:w="1701" w:type="dxa"/>
            <w:vAlign w:val="center"/>
          </w:tcPr>
          <w:p w14:paraId="44443FC1">
            <w:pPr>
              <w:autoSpaceDE w:val="0"/>
              <w:autoSpaceDN w:val="0"/>
              <w:adjustRightInd w:val="0"/>
              <w:spacing w:line="360" w:lineRule="auto"/>
              <w:jc w:val="center"/>
              <w:rPr>
                <w:rFonts w:hint="eastAsia"/>
                <w:highlight w:val="none"/>
              </w:rPr>
            </w:pPr>
            <w:r>
              <w:rPr>
                <w:highlight w:val="none"/>
              </w:rPr>
              <w:t>……</w:t>
            </w:r>
          </w:p>
        </w:tc>
        <w:tc>
          <w:tcPr>
            <w:tcW w:w="1640" w:type="dxa"/>
          </w:tcPr>
          <w:p w14:paraId="094EAD14">
            <w:pPr>
              <w:autoSpaceDE w:val="0"/>
              <w:autoSpaceDN w:val="0"/>
              <w:adjustRightInd w:val="0"/>
              <w:spacing w:line="360" w:lineRule="auto"/>
              <w:rPr>
                <w:rFonts w:hint="eastAsia"/>
                <w:highlight w:val="none"/>
              </w:rPr>
            </w:pPr>
          </w:p>
        </w:tc>
        <w:tc>
          <w:tcPr>
            <w:tcW w:w="2237" w:type="dxa"/>
          </w:tcPr>
          <w:p w14:paraId="2A528334">
            <w:pPr>
              <w:autoSpaceDE w:val="0"/>
              <w:autoSpaceDN w:val="0"/>
              <w:adjustRightInd w:val="0"/>
              <w:spacing w:line="360" w:lineRule="auto"/>
              <w:rPr>
                <w:rFonts w:hint="eastAsia"/>
                <w:highlight w:val="none"/>
              </w:rPr>
            </w:pPr>
          </w:p>
        </w:tc>
        <w:tc>
          <w:tcPr>
            <w:tcW w:w="1614" w:type="dxa"/>
          </w:tcPr>
          <w:p w14:paraId="3A801870">
            <w:pPr>
              <w:autoSpaceDE w:val="0"/>
              <w:autoSpaceDN w:val="0"/>
              <w:adjustRightInd w:val="0"/>
              <w:spacing w:line="360" w:lineRule="auto"/>
              <w:rPr>
                <w:rFonts w:hint="eastAsia"/>
                <w:highlight w:val="none"/>
              </w:rPr>
            </w:pPr>
          </w:p>
        </w:tc>
        <w:tc>
          <w:tcPr>
            <w:tcW w:w="1403" w:type="dxa"/>
          </w:tcPr>
          <w:p w14:paraId="5F366384">
            <w:pPr>
              <w:autoSpaceDE w:val="0"/>
              <w:autoSpaceDN w:val="0"/>
              <w:adjustRightInd w:val="0"/>
              <w:spacing w:line="360" w:lineRule="auto"/>
              <w:rPr>
                <w:rFonts w:hint="eastAsia"/>
                <w:highlight w:val="none"/>
              </w:rPr>
            </w:pPr>
          </w:p>
        </w:tc>
      </w:tr>
      <w:tr w14:paraId="2BDA44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 w:type="dxa"/>
            <w:vAlign w:val="center"/>
          </w:tcPr>
          <w:p w14:paraId="1711EEC1">
            <w:pPr>
              <w:autoSpaceDE w:val="0"/>
              <w:autoSpaceDN w:val="0"/>
              <w:adjustRightInd w:val="0"/>
              <w:spacing w:line="360" w:lineRule="auto"/>
              <w:jc w:val="center"/>
              <w:rPr>
                <w:rFonts w:hint="eastAsia"/>
                <w:highlight w:val="none"/>
              </w:rPr>
            </w:pPr>
            <w:r>
              <w:rPr>
                <w:rFonts w:hint="eastAsia"/>
                <w:highlight w:val="none"/>
              </w:rPr>
              <w:t>三</w:t>
            </w:r>
          </w:p>
        </w:tc>
        <w:tc>
          <w:tcPr>
            <w:tcW w:w="7192" w:type="dxa"/>
            <w:gridSpan w:val="4"/>
            <w:vAlign w:val="center"/>
          </w:tcPr>
          <w:p w14:paraId="26011092">
            <w:pPr>
              <w:autoSpaceDE w:val="0"/>
              <w:autoSpaceDN w:val="0"/>
              <w:adjustRightInd w:val="0"/>
              <w:spacing w:line="360" w:lineRule="auto"/>
              <w:rPr>
                <w:rFonts w:hint="eastAsia"/>
                <w:highlight w:val="none"/>
              </w:rPr>
            </w:pPr>
            <w:r>
              <w:rPr>
                <w:rFonts w:hint="eastAsia"/>
                <w:highlight w:val="none"/>
              </w:rPr>
              <w:t>为同一母公司的子公司</w:t>
            </w:r>
          </w:p>
        </w:tc>
        <w:tc>
          <w:tcPr>
            <w:tcW w:w="1403" w:type="dxa"/>
            <w:vAlign w:val="center"/>
          </w:tcPr>
          <w:p w14:paraId="11E57C32">
            <w:pPr>
              <w:autoSpaceDE w:val="0"/>
              <w:autoSpaceDN w:val="0"/>
              <w:adjustRightInd w:val="0"/>
              <w:spacing w:line="360" w:lineRule="auto"/>
              <w:rPr>
                <w:rFonts w:hint="eastAsia"/>
                <w:highlight w:val="none"/>
              </w:rPr>
            </w:pPr>
          </w:p>
        </w:tc>
      </w:tr>
      <w:tr w14:paraId="24C34C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 w:type="dxa"/>
            <w:vAlign w:val="center"/>
          </w:tcPr>
          <w:p w14:paraId="6F8CA1F6">
            <w:pPr>
              <w:autoSpaceDE w:val="0"/>
              <w:autoSpaceDN w:val="0"/>
              <w:adjustRightInd w:val="0"/>
              <w:spacing w:line="360" w:lineRule="auto"/>
              <w:jc w:val="center"/>
              <w:rPr>
                <w:rFonts w:hint="eastAsia"/>
                <w:highlight w:val="none"/>
              </w:rPr>
            </w:pPr>
            <w:r>
              <w:rPr>
                <w:highlight w:val="none"/>
              </w:rPr>
              <w:t>1</w:t>
            </w:r>
          </w:p>
        </w:tc>
        <w:tc>
          <w:tcPr>
            <w:tcW w:w="1701" w:type="dxa"/>
            <w:vAlign w:val="center"/>
          </w:tcPr>
          <w:p w14:paraId="012E5242">
            <w:pPr>
              <w:autoSpaceDE w:val="0"/>
              <w:autoSpaceDN w:val="0"/>
              <w:adjustRightInd w:val="0"/>
              <w:spacing w:line="360" w:lineRule="auto"/>
              <w:jc w:val="center"/>
              <w:rPr>
                <w:rFonts w:hint="eastAsia"/>
                <w:highlight w:val="none"/>
              </w:rPr>
            </w:pPr>
            <w:r>
              <w:rPr>
                <w:highlight w:val="none"/>
              </w:rPr>
              <w:t>……</w:t>
            </w:r>
          </w:p>
        </w:tc>
        <w:tc>
          <w:tcPr>
            <w:tcW w:w="1640" w:type="dxa"/>
          </w:tcPr>
          <w:p w14:paraId="69165310">
            <w:pPr>
              <w:autoSpaceDE w:val="0"/>
              <w:autoSpaceDN w:val="0"/>
              <w:adjustRightInd w:val="0"/>
              <w:spacing w:line="360" w:lineRule="auto"/>
              <w:rPr>
                <w:rFonts w:hint="eastAsia"/>
                <w:highlight w:val="none"/>
              </w:rPr>
            </w:pPr>
          </w:p>
        </w:tc>
        <w:tc>
          <w:tcPr>
            <w:tcW w:w="2237" w:type="dxa"/>
          </w:tcPr>
          <w:p w14:paraId="187D89A6">
            <w:pPr>
              <w:autoSpaceDE w:val="0"/>
              <w:autoSpaceDN w:val="0"/>
              <w:adjustRightInd w:val="0"/>
              <w:spacing w:line="360" w:lineRule="auto"/>
              <w:rPr>
                <w:rFonts w:hint="eastAsia"/>
                <w:highlight w:val="none"/>
              </w:rPr>
            </w:pPr>
          </w:p>
        </w:tc>
        <w:tc>
          <w:tcPr>
            <w:tcW w:w="1614" w:type="dxa"/>
          </w:tcPr>
          <w:p w14:paraId="23165569">
            <w:pPr>
              <w:autoSpaceDE w:val="0"/>
              <w:autoSpaceDN w:val="0"/>
              <w:adjustRightInd w:val="0"/>
              <w:spacing w:line="360" w:lineRule="auto"/>
              <w:rPr>
                <w:rFonts w:hint="eastAsia"/>
                <w:highlight w:val="none"/>
              </w:rPr>
            </w:pPr>
          </w:p>
        </w:tc>
        <w:tc>
          <w:tcPr>
            <w:tcW w:w="1403" w:type="dxa"/>
          </w:tcPr>
          <w:p w14:paraId="2AD76826">
            <w:pPr>
              <w:autoSpaceDE w:val="0"/>
              <w:autoSpaceDN w:val="0"/>
              <w:adjustRightInd w:val="0"/>
              <w:spacing w:line="360" w:lineRule="auto"/>
              <w:rPr>
                <w:rFonts w:hint="eastAsia"/>
                <w:highlight w:val="none"/>
              </w:rPr>
            </w:pPr>
          </w:p>
        </w:tc>
      </w:tr>
      <w:tr w14:paraId="42F52B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 w:type="dxa"/>
            <w:vAlign w:val="center"/>
          </w:tcPr>
          <w:p w14:paraId="73671E61">
            <w:pPr>
              <w:autoSpaceDE w:val="0"/>
              <w:autoSpaceDN w:val="0"/>
              <w:adjustRightInd w:val="0"/>
              <w:spacing w:line="360" w:lineRule="auto"/>
              <w:jc w:val="center"/>
              <w:rPr>
                <w:rFonts w:hint="eastAsia"/>
                <w:highlight w:val="none"/>
              </w:rPr>
            </w:pPr>
            <w:r>
              <w:rPr>
                <w:highlight w:val="none"/>
              </w:rPr>
              <w:t>…</w:t>
            </w:r>
          </w:p>
        </w:tc>
        <w:tc>
          <w:tcPr>
            <w:tcW w:w="1701" w:type="dxa"/>
            <w:vAlign w:val="center"/>
          </w:tcPr>
          <w:p w14:paraId="56056660">
            <w:pPr>
              <w:autoSpaceDE w:val="0"/>
              <w:autoSpaceDN w:val="0"/>
              <w:adjustRightInd w:val="0"/>
              <w:spacing w:line="360" w:lineRule="auto"/>
              <w:jc w:val="center"/>
              <w:rPr>
                <w:rFonts w:hint="eastAsia"/>
                <w:highlight w:val="none"/>
              </w:rPr>
            </w:pPr>
            <w:r>
              <w:rPr>
                <w:highlight w:val="none"/>
              </w:rPr>
              <w:t>……</w:t>
            </w:r>
          </w:p>
        </w:tc>
        <w:tc>
          <w:tcPr>
            <w:tcW w:w="1640" w:type="dxa"/>
          </w:tcPr>
          <w:p w14:paraId="28354386">
            <w:pPr>
              <w:autoSpaceDE w:val="0"/>
              <w:autoSpaceDN w:val="0"/>
              <w:adjustRightInd w:val="0"/>
              <w:spacing w:line="360" w:lineRule="auto"/>
              <w:rPr>
                <w:rFonts w:hint="eastAsia"/>
                <w:highlight w:val="none"/>
              </w:rPr>
            </w:pPr>
          </w:p>
        </w:tc>
        <w:tc>
          <w:tcPr>
            <w:tcW w:w="2237" w:type="dxa"/>
          </w:tcPr>
          <w:p w14:paraId="1E6C2C92">
            <w:pPr>
              <w:autoSpaceDE w:val="0"/>
              <w:autoSpaceDN w:val="0"/>
              <w:adjustRightInd w:val="0"/>
              <w:spacing w:line="360" w:lineRule="auto"/>
              <w:rPr>
                <w:rFonts w:hint="eastAsia"/>
                <w:highlight w:val="none"/>
              </w:rPr>
            </w:pPr>
          </w:p>
        </w:tc>
        <w:tc>
          <w:tcPr>
            <w:tcW w:w="1614" w:type="dxa"/>
          </w:tcPr>
          <w:p w14:paraId="36F69C0E">
            <w:pPr>
              <w:autoSpaceDE w:val="0"/>
              <w:autoSpaceDN w:val="0"/>
              <w:adjustRightInd w:val="0"/>
              <w:spacing w:line="360" w:lineRule="auto"/>
              <w:rPr>
                <w:rFonts w:hint="eastAsia"/>
                <w:highlight w:val="none"/>
              </w:rPr>
            </w:pPr>
          </w:p>
        </w:tc>
        <w:tc>
          <w:tcPr>
            <w:tcW w:w="1403" w:type="dxa"/>
          </w:tcPr>
          <w:p w14:paraId="2DCD95B6">
            <w:pPr>
              <w:autoSpaceDE w:val="0"/>
              <w:autoSpaceDN w:val="0"/>
              <w:adjustRightInd w:val="0"/>
              <w:spacing w:line="360" w:lineRule="auto"/>
              <w:rPr>
                <w:rFonts w:hint="eastAsia"/>
                <w:highlight w:val="none"/>
              </w:rPr>
            </w:pPr>
          </w:p>
        </w:tc>
      </w:tr>
      <w:tr w14:paraId="2E61FC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 w:type="dxa"/>
            <w:vAlign w:val="center"/>
          </w:tcPr>
          <w:p w14:paraId="52996D67">
            <w:pPr>
              <w:autoSpaceDE w:val="0"/>
              <w:autoSpaceDN w:val="0"/>
              <w:adjustRightInd w:val="0"/>
              <w:spacing w:line="360" w:lineRule="auto"/>
              <w:jc w:val="center"/>
              <w:rPr>
                <w:rFonts w:hint="eastAsia"/>
                <w:highlight w:val="none"/>
              </w:rPr>
            </w:pPr>
            <w:r>
              <w:rPr>
                <w:rFonts w:hint="eastAsia"/>
                <w:highlight w:val="none"/>
              </w:rPr>
              <w:t>四</w:t>
            </w:r>
          </w:p>
        </w:tc>
        <w:tc>
          <w:tcPr>
            <w:tcW w:w="7192" w:type="dxa"/>
            <w:gridSpan w:val="4"/>
            <w:vAlign w:val="center"/>
          </w:tcPr>
          <w:p w14:paraId="6306F549">
            <w:pPr>
              <w:autoSpaceDE w:val="0"/>
              <w:autoSpaceDN w:val="0"/>
              <w:adjustRightInd w:val="0"/>
              <w:spacing w:line="360" w:lineRule="auto"/>
              <w:rPr>
                <w:rFonts w:hint="eastAsia"/>
                <w:highlight w:val="none"/>
              </w:rPr>
            </w:pPr>
            <w:r>
              <w:rPr>
                <w:rFonts w:hint="eastAsia"/>
                <w:highlight w:val="none"/>
              </w:rPr>
              <w:t>法定代表人为同一人的法人单位</w:t>
            </w:r>
          </w:p>
        </w:tc>
        <w:tc>
          <w:tcPr>
            <w:tcW w:w="1403" w:type="dxa"/>
            <w:vAlign w:val="center"/>
          </w:tcPr>
          <w:p w14:paraId="1CFCEECD">
            <w:pPr>
              <w:autoSpaceDE w:val="0"/>
              <w:autoSpaceDN w:val="0"/>
              <w:adjustRightInd w:val="0"/>
              <w:spacing w:line="360" w:lineRule="auto"/>
              <w:rPr>
                <w:rFonts w:hint="eastAsia"/>
                <w:highlight w:val="none"/>
              </w:rPr>
            </w:pPr>
          </w:p>
        </w:tc>
      </w:tr>
      <w:tr w14:paraId="36BF70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 w:type="dxa"/>
            <w:vAlign w:val="center"/>
          </w:tcPr>
          <w:p w14:paraId="0030CA65">
            <w:pPr>
              <w:autoSpaceDE w:val="0"/>
              <w:autoSpaceDN w:val="0"/>
              <w:adjustRightInd w:val="0"/>
              <w:spacing w:line="360" w:lineRule="auto"/>
              <w:jc w:val="center"/>
              <w:rPr>
                <w:rFonts w:hint="eastAsia"/>
                <w:highlight w:val="none"/>
              </w:rPr>
            </w:pPr>
            <w:r>
              <w:rPr>
                <w:highlight w:val="none"/>
              </w:rPr>
              <w:t>1</w:t>
            </w:r>
          </w:p>
        </w:tc>
        <w:tc>
          <w:tcPr>
            <w:tcW w:w="1701" w:type="dxa"/>
            <w:vAlign w:val="center"/>
          </w:tcPr>
          <w:p w14:paraId="6AD1444E">
            <w:pPr>
              <w:autoSpaceDE w:val="0"/>
              <w:autoSpaceDN w:val="0"/>
              <w:adjustRightInd w:val="0"/>
              <w:spacing w:line="360" w:lineRule="auto"/>
              <w:jc w:val="center"/>
              <w:rPr>
                <w:rFonts w:hint="eastAsia"/>
                <w:highlight w:val="none"/>
              </w:rPr>
            </w:pPr>
            <w:r>
              <w:rPr>
                <w:highlight w:val="none"/>
              </w:rPr>
              <w:t>……</w:t>
            </w:r>
          </w:p>
        </w:tc>
        <w:tc>
          <w:tcPr>
            <w:tcW w:w="1640" w:type="dxa"/>
          </w:tcPr>
          <w:p w14:paraId="79364657">
            <w:pPr>
              <w:autoSpaceDE w:val="0"/>
              <w:autoSpaceDN w:val="0"/>
              <w:adjustRightInd w:val="0"/>
              <w:spacing w:line="360" w:lineRule="auto"/>
              <w:rPr>
                <w:rFonts w:hint="eastAsia"/>
                <w:highlight w:val="none"/>
              </w:rPr>
            </w:pPr>
          </w:p>
        </w:tc>
        <w:tc>
          <w:tcPr>
            <w:tcW w:w="2237" w:type="dxa"/>
          </w:tcPr>
          <w:p w14:paraId="3235764F">
            <w:pPr>
              <w:autoSpaceDE w:val="0"/>
              <w:autoSpaceDN w:val="0"/>
              <w:adjustRightInd w:val="0"/>
              <w:spacing w:line="360" w:lineRule="auto"/>
              <w:rPr>
                <w:rFonts w:hint="eastAsia"/>
                <w:highlight w:val="none"/>
              </w:rPr>
            </w:pPr>
          </w:p>
        </w:tc>
        <w:tc>
          <w:tcPr>
            <w:tcW w:w="1614" w:type="dxa"/>
          </w:tcPr>
          <w:p w14:paraId="48089488">
            <w:pPr>
              <w:autoSpaceDE w:val="0"/>
              <w:autoSpaceDN w:val="0"/>
              <w:adjustRightInd w:val="0"/>
              <w:spacing w:line="360" w:lineRule="auto"/>
              <w:rPr>
                <w:rFonts w:hint="eastAsia"/>
                <w:highlight w:val="none"/>
              </w:rPr>
            </w:pPr>
          </w:p>
        </w:tc>
        <w:tc>
          <w:tcPr>
            <w:tcW w:w="1403" w:type="dxa"/>
          </w:tcPr>
          <w:p w14:paraId="0C370B76">
            <w:pPr>
              <w:autoSpaceDE w:val="0"/>
              <w:autoSpaceDN w:val="0"/>
              <w:adjustRightInd w:val="0"/>
              <w:spacing w:line="360" w:lineRule="auto"/>
              <w:rPr>
                <w:rFonts w:hint="eastAsia"/>
                <w:highlight w:val="none"/>
              </w:rPr>
            </w:pPr>
          </w:p>
        </w:tc>
      </w:tr>
      <w:tr w14:paraId="6BA464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 w:type="dxa"/>
            <w:vAlign w:val="center"/>
          </w:tcPr>
          <w:p w14:paraId="694AE484">
            <w:pPr>
              <w:autoSpaceDE w:val="0"/>
              <w:autoSpaceDN w:val="0"/>
              <w:adjustRightInd w:val="0"/>
              <w:spacing w:line="360" w:lineRule="auto"/>
              <w:jc w:val="center"/>
              <w:rPr>
                <w:rFonts w:hint="eastAsia"/>
                <w:highlight w:val="none"/>
              </w:rPr>
            </w:pPr>
            <w:r>
              <w:rPr>
                <w:highlight w:val="none"/>
              </w:rPr>
              <w:t>…</w:t>
            </w:r>
          </w:p>
        </w:tc>
        <w:tc>
          <w:tcPr>
            <w:tcW w:w="1701" w:type="dxa"/>
            <w:vAlign w:val="center"/>
          </w:tcPr>
          <w:p w14:paraId="792D80E1">
            <w:pPr>
              <w:autoSpaceDE w:val="0"/>
              <w:autoSpaceDN w:val="0"/>
              <w:adjustRightInd w:val="0"/>
              <w:spacing w:line="360" w:lineRule="auto"/>
              <w:jc w:val="center"/>
              <w:rPr>
                <w:rFonts w:hint="eastAsia"/>
                <w:highlight w:val="none"/>
              </w:rPr>
            </w:pPr>
            <w:r>
              <w:rPr>
                <w:highlight w:val="none"/>
              </w:rPr>
              <w:t>……</w:t>
            </w:r>
          </w:p>
        </w:tc>
        <w:tc>
          <w:tcPr>
            <w:tcW w:w="1640" w:type="dxa"/>
          </w:tcPr>
          <w:p w14:paraId="61B62B47">
            <w:pPr>
              <w:autoSpaceDE w:val="0"/>
              <w:autoSpaceDN w:val="0"/>
              <w:adjustRightInd w:val="0"/>
              <w:spacing w:line="360" w:lineRule="auto"/>
              <w:rPr>
                <w:rFonts w:hint="eastAsia"/>
                <w:highlight w:val="none"/>
              </w:rPr>
            </w:pPr>
          </w:p>
        </w:tc>
        <w:tc>
          <w:tcPr>
            <w:tcW w:w="2237" w:type="dxa"/>
          </w:tcPr>
          <w:p w14:paraId="24A7203B">
            <w:pPr>
              <w:autoSpaceDE w:val="0"/>
              <w:autoSpaceDN w:val="0"/>
              <w:adjustRightInd w:val="0"/>
              <w:spacing w:line="360" w:lineRule="auto"/>
              <w:rPr>
                <w:rFonts w:hint="eastAsia"/>
                <w:highlight w:val="none"/>
              </w:rPr>
            </w:pPr>
          </w:p>
        </w:tc>
        <w:tc>
          <w:tcPr>
            <w:tcW w:w="1614" w:type="dxa"/>
          </w:tcPr>
          <w:p w14:paraId="3A8C3E51">
            <w:pPr>
              <w:autoSpaceDE w:val="0"/>
              <w:autoSpaceDN w:val="0"/>
              <w:adjustRightInd w:val="0"/>
              <w:spacing w:line="360" w:lineRule="auto"/>
              <w:rPr>
                <w:rFonts w:hint="eastAsia"/>
                <w:highlight w:val="none"/>
              </w:rPr>
            </w:pPr>
          </w:p>
        </w:tc>
        <w:tc>
          <w:tcPr>
            <w:tcW w:w="1403" w:type="dxa"/>
          </w:tcPr>
          <w:p w14:paraId="313F7CD2">
            <w:pPr>
              <w:autoSpaceDE w:val="0"/>
              <w:autoSpaceDN w:val="0"/>
              <w:adjustRightInd w:val="0"/>
              <w:spacing w:line="360" w:lineRule="auto"/>
              <w:rPr>
                <w:rFonts w:hint="eastAsia"/>
                <w:highlight w:val="none"/>
              </w:rPr>
            </w:pPr>
          </w:p>
        </w:tc>
      </w:tr>
    </w:tbl>
    <w:p w14:paraId="1CB03EAB">
      <w:pPr>
        <w:spacing w:line="360" w:lineRule="auto"/>
        <w:ind w:firstLine="324" w:firstLineChars="135"/>
        <w:rPr>
          <w:rFonts w:hint="eastAsia"/>
          <w:szCs w:val="21"/>
          <w:highlight w:val="none"/>
        </w:rPr>
      </w:pPr>
      <w:r>
        <w:rPr>
          <w:rFonts w:hint="eastAsia"/>
          <w:szCs w:val="21"/>
          <w:highlight w:val="none"/>
        </w:rPr>
        <w:t>注：1、本表式可根据需要扩展。</w:t>
      </w:r>
    </w:p>
    <w:p w14:paraId="3060FA91">
      <w:pPr>
        <w:pStyle w:val="23"/>
        <w:spacing w:line="360" w:lineRule="auto"/>
        <w:rPr>
          <w:rFonts w:hint="eastAsia"/>
          <w:szCs w:val="21"/>
          <w:highlight w:val="none"/>
        </w:rPr>
      </w:pPr>
      <w:r>
        <w:rPr>
          <w:rFonts w:hint="eastAsia"/>
          <w:szCs w:val="21"/>
          <w:highlight w:val="none"/>
        </w:rPr>
        <w:t>2、若不存在上级控股企业或下级控股企业等情形的，请填写“/”或“无”。</w:t>
      </w:r>
    </w:p>
    <w:p w14:paraId="13795B5B">
      <w:pPr>
        <w:rPr>
          <w:rFonts w:hint="eastAsia"/>
          <w:szCs w:val="21"/>
          <w:highlight w:val="none"/>
        </w:rPr>
      </w:pPr>
      <w:r>
        <w:rPr>
          <w:rFonts w:hint="eastAsia"/>
          <w:szCs w:val="21"/>
          <w:highlight w:val="none"/>
        </w:rPr>
        <w:br w:type="page"/>
      </w:r>
    </w:p>
    <w:p w14:paraId="31B25AE5">
      <w:pPr>
        <w:pStyle w:val="3"/>
        <w:spacing w:line="360" w:lineRule="auto"/>
        <w:rPr>
          <w:rFonts w:hint="eastAsia" w:ascii="宋体" w:hAnsi="宋体"/>
          <w:highlight w:val="none"/>
        </w:rPr>
      </w:pPr>
      <w:r>
        <w:rPr>
          <w:rFonts w:hint="eastAsia" w:ascii="宋体" w:hAnsi="宋体"/>
          <w:highlight w:val="none"/>
        </w:rPr>
        <w:t>十二、</w:t>
      </w:r>
      <w:r>
        <w:rPr>
          <w:rFonts w:hint="eastAsia" w:ascii="宋体" w:hAnsi="宋体"/>
          <w:szCs w:val="30"/>
          <w:highlight w:val="none"/>
        </w:rPr>
        <w:t>声明书</w:t>
      </w:r>
      <w:bookmarkEnd w:id="131"/>
      <w:bookmarkEnd w:id="132"/>
    </w:p>
    <w:p w14:paraId="2255DCCF">
      <w:pPr>
        <w:spacing w:line="360" w:lineRule="auto"/>
        <w:rPr>
          <w:rFonts w:hint="eastAsia"/>
          <w:highlight w:val="none"/>
        </w:rPr>
      </w:pPr>
    </w:p>
    <w:p w14:paraId="5304ADF7">
      <w:pPr>
        <w:spacing w:line="360" w:lineRule="auto"/>
        <w:rPr>
          <w:rFonts w:hint="eastAsia" w:eastAsia="宋体"/>
          <w:highlight w:val="none"/>
          <w:lang w:eastAsia="zh-CN"/>
        </w:rPr>
      </w:pPr>
      <w:r>
        <w:rPr>
          <w:rFonts w:hint="eastAsia"/>
          <w:highlight w:val="none"/>
        </w:rPr>
        <w:t>致：</w:t>
      </w:r>
      <w:r>
        <w:rPr>
          <w:rFonts w:hint="eastAsia"/>
          <w:highlight w:val="none"/>
          <w:lang w:eastAsia="zh-CN"/>
        </w:rPr>
        <w:t>上海市松江区土地储备和土地整理中心</w:t>
      </w:r>
    </w:p>
    <w:p w14:paraId="7592C27B">
      <w:pPr>
        <w:spacing w:line="360" w:lineRule="auto"/>
        <w:rPr>
          <w:rFonts w:hint="eastAsia"/>
          <w:highlight w:val="none"/>
        </w:rPr>
      </w:pPr>
    </w:p>
    <w:p w14:paraId="1A3BDC27">
      <w:pPr>
        <w:spacing w:line="360" w:lineRule="auto"/>
        <w:ind w:firstLine="600" w:firstLineChars="250"/>
        <w:rPr>
          <w:rFonts w:hint="eastAsia"/>
          <w:highlight w:val="none"/>
        </w:rPr>
      </w:pPr>
      <w:r>
        <w:rPr>
          <w:rFonts w:hint="eastAsia"/>
          <w:highlight w:val="none"/>
        </w:rPr>
        <w:t>我单位经慎重考虑，决定参与贵单位的</w:t>
      </w:r>
      <w:r>
        <w:rPr>
          <w:rFonts w:hint="eastAsia"/>
          <w:highlight w:val="none"/>
          <w:u w:val="single"/>
          <w:lang w:eastAsia="zh-CN"/>
        </w:rPr>
        <w:t>“十五五”建设用地减量化及一般耕地复垦实施方案</w:t>
      </w:r>
      <w:r>
        <w:rPr>
          <w:rFonts w:hint="eastAsia"/>
          <w:highlight w:val="none"/>
        </w:rPr>
        <w:t>的竞标，我方已完全理解该项目公告及竞争性磋商文件所附的全部内容及条件，也保证我单位完全符合该项目的报名条件，同时我单位承诺：</w:t>
      </w:r>
    </w:p>
    <w:p w14:paraId="05797433">
      <w:pPr>
        <w:numPr>
          <w:ilvl w:val="0"/>
          <w:numId w:val="9"/>
        </w:numPr>
        <w:tabs>
          <w:tab w:val="left" w:pos="993"/>
          <w:tab w:val="left" w:pos="1418"/>
        </w:tabs>
        <w:spacing w:line="360" w:lineRule="auto"/>
        <w:rPr>
          <w:rFonts w:hint="eastAsia"/>
          <w:highlight w:val="none"/>
        </w:rPr>
      </w:pPr>
      <w:r>
        <w:rPr>
          <w:rFonts w:hint="eastAsia"/>
          <w:highlight w:val="none"/>
        </w:rPr>
        <w:t>本单位没有处于被责令停业的状态；</w:t>
      </w:r>
    </w:p>
    <w:p w14:paraId="1F6B8C91">
      <w:pPr>
        <w:numPr>
          <w:ilvl w:val="0"/>
          <w:numId w:val="9"/>
        </w:numPr>
        <w:tabs>
          <w:tab w:val="left" w:pos="993"/>
          <w:tab w:val="left" w:pos="1418"/>
        </w:tabs>
        <w:spacing w:line="360" w:lineRule="auto"/>
        <w:rPr>
          <w:rFonts w:hint="eastAsia"/>
          <w:highlight w:val="none"/>
        </w:rPr>
      </w:pPr>
      <w:r>
        <w:rPr>
          <w:rFonts w:hint="eastAsia"/>
          <w:highlight w:val="none"/>
        </w:rPr>
        <w:t>本单位没有处于被建设行政主管部分取消投标资格的处罚期内；</w:t>
      </w:r>
    </w:p>
    <w:p w14:paraId="7BFC4773">
      <w:pPr>
        <w:numPr>
          <w:ilvl w:val="0"/>
          <w:numId w:val="9"/>
        </w:numPr>
        <w:tabs>
          <w:tab w:val="left" w:pos="993"/>
          <w:tab w:val="left" w:pos="1418"/>
        </w:tabs>
        <w:spacing w:line="360" w:lineRule="auto"/>
        <w:rPr>
          <w:rFonts w:hint="eastAsia"/>
          <w:highlight w:val="none"/>
        </w:rPr>
      </w:pPr>
      <w:r>
        <w:rPr>
          <w:rFonts w:hint="eastAsia"/>
          <w:highlight w:val="none"/>
        </w:rPr>
        <w:t>本单位没有处于财产被接管、冻结、破产的状态；</w:t>
      </w:r>
    </w:p>
    <w:p w14:paraId="184E1080">
      <w:pPr>
        <w:tabs>
          <w:tab w:val="left" w:pos="993"/>
          <w:tab w:val="left" w:pos="1418"/>
        </w:tabs>
        <w:spacing w:line="360" w:lineRule="auto"/>
        <w:rPr>
          <w:rFonts w:hint="eastAsia"/>
          <w:highlight w:val="none"/>
        </w:rPr>
      </w:pPr>
    </w:p>
    <w:p w14:paraId="05DBAC96">
      <w:pPr>
        <w:tabs>
          <w:tab w:val="left" w:pos="993"/>
          <w:tab w:val="left" w:pos="1418"/>
        </w:tabs>
        <w:spacing w:line="360" w:lineRule="auto"/>
        <w:rPr>
          <w:rFonts w:hint="eastAsia"/>
          <w:highlight w:val="none"/>
        </w:rPr>
      </w:pPr>
      <w:r>
        <w:rPr>
          <w:rFonts w:hint="eastAsia"/>
          <w:highlight w:val="none"/>
        </w:rPr>
        <w:t xml:space="preserve">    以上事项如有虚假或隐瞒，我方愿意承担一切后果，并不再寻求任何旨在减轻或免除法律责任的辩解。</w:t>
      </w:r>
    </w:p>
    <w:p w14:paraId="57789ECD">
      <w:pPr>
        <w:spacing w:line="360" w:lineRule="auto"/>
        <w:rPr>
          <w:rFonts w:hint="eastAsia"/>
          <w:highlight w:val="none"/>
        </w:rPr>
      </w:pPr>
    </w:p>
    <w:p w14:paraId="49711409">
      <w:pPr>
        <w:spacing w:line="360" w:lineRule="auto"/>
        <w:rPr>
          <w:rFonts w:hint="eastAsia"/>
          <w:highlight w:val="none"/>
        </w:rPr>
      </w:pPr>
    </w:p>
    <w:p w14:paraId="121A76E3">
      <w:pPr>
        <w:spacing w:line="360" w:lineRule="auto"/>
        <w:ind w:left="540" w:firstLine="30"/>
        <w:rPr>
          <w:rFonts w:hint="eastAsia"/>
          <w:highlight w:val="none"/>
        </w:rPr>
      </w:pPr>
      <w:r>
        <w:rPr>
          <w:rFonts w:hint="eastAsia"/>
          <w:highlight w:val="none"/>
        </w:rPr>
        <w:t>供应商名称（盖章）：</w:t>
      </w:r>
    </w:p>
    <w:p w14:paraId="1C4F9F3C">
      <w:pPr>
        <w:spacing w:line="360" w:lineRule="auto"/>
        <w:ind w:left="540" w:firstLine="30"/>
        <w:rPr>
          <w:rFonts w:hint="eastAsia"/>
          <w:highlight w:val="none"/>
        </w:rPr>
      </w:pPr>
      <w:r>
        <w:rPr>
          <w:rFonts w:hint="eastAsia"/>
          <w:highlight w:val="none"/>
        </w:rPr>
        <w:t>供应商地址：</w:t>
      </w:r>
    </w:p>
    <w:p w14:paraId="359C8030">
      <w:pPr>
        <w:spacing w:line="360" w:lineRule="auto"/>
        <w:jc w:val="center"/>
        <w:rPr>
          <w:rFonts w:hint="eastAsia"/>
          <w:highlight w:val="none"/>
        </w:rPr>
      </w:pPr>
      <w:r>
        <w:rPr>
          <w:rFonts w:hint="eastAsia"/>
          <w:highlight w:val="none"/>
        </w:rPr>
        <w:t xml:space="preserve">          年    月     日</w:t>
      </w:r>
      <w:r>
        <w:rPr>
          <w:highlight w:val="none"/>
        </w:rPr>
        <w:br w:type="page"/>
      </w:r>
    </w:p>
    <w:p w14:paraId="4FEE7E8A">
      <w:pPr>
        <w:spacing w:line="360" w:lineRule="auto"/>
        <w:jc w:val="center"/>
        <w:rPr>
          <w:rFonts w:hint="eastAsia"/>
          <w:b/>
          <w:sz w:val="36"/>
          <w:szCs w:val="36"/>
          <w:highlight w:val="none"/>
        </w:rPr>
      </w:pPr>
      <w:r>
        <w:rPr>
          <w:rFonts w:hint="eastAsia"/>
          <w:b/>
          <w:sz w:val="30"/>
          <w:szCs w:val="20"/>
          <w:highlight w:val="none"/>
        </w:rPr>
        <w:t>十三、承诺书</w:t>
      </w:r>
    </w:p>
    <w:p w14:paraId="0B794A74">
      <w:pPr>
        <w:spacing w:line="360" w:lineRule="auto"/>
        <w:rPr>
          <w:rFonts w:hint="eastAsia"/>
          <w:highlight w:val="none"/>
        </w:rPr>
      </w:pPr>
      <w:r>
        <w:rPr>
          <w:rFonts w:hint="eastAsia"/>
          <w:highlight w:val="none"/>
        </w:rPr>
        <w:t>本单位在此郑重承诺：</w:t>
      </w:r>
    </w:p>
    <w:p w14:paraId="472A0135">
      <w:pPr>
        <w:spacing w:line="360" w:lineRule="auto"/>
        <w:ind w:firstLine="480" w:firstLineChars="200"/>
        <w:rPr>
          <w:rFonts w:hint="eastAsia"/>
          <w:highlight w:val="none"/>
          <w:u w:val="single"/>
        </w:rPr>
      </w:pPr>
      <w:r>
        <w:rPr>
          <w:rFonts w:hint="eastAsia"/>
          <w:highlight w:val="none"/>
        </w:rPr>
        <w:t>将遵循公开、公平、公正和诚实守信的原则，参加</w:t>
      </w:r>
      <w:r>
        <w:rPr>
          <w:rFonts w:hint="eastAsia"/>
          <w:highlight w:val="none"/>
          <w:u w:val="single"/>
        </w:rPr>
        <w:t xml:space="preserve">           </w:t>
      </w:r>
      <w:r>
        <w:rPr>
          <w:rFonts w:hint="eastAsia"/>
          <w:highlight w:val="none"/>
        </w:rPr>
        <w:t>项目的投标/谈判。</w:t>
      </w:r>
    </w:p>
    <w:p w14:paraId="317D2985">
      <w:pPr>
        <w:spacing w:line="360" w:lineRule="auto"/>
        <w:ind w:firstLine="480" w:firstLineChars="200"/>
        <w:rPr>
          <w:rFonts w:hint="eastAsia"/>
          <w:highlight w:val="none"/>
        </w:rPr>
      </w:pPr>
      <w:r>
        <w:rPr>
          <w:rFonts w:hint="eastAsia"/>
          <w:highlight w:val="none"/>
        </w:rPr>
        <w:t>一、不提供有违真实的材料。</w:t>
      </w:r>
    </w:p>
    <w:p w14:paraId="29AE8FEF">
      <w:pPr>
        <w:spacing w:line="360" w:lineRule="auto"/>
        <w:ind w:firstLine="480" w:firstLineChars="200"/>
        <w:rPr>
          <w:rFonts w:hint="eastAsia"/>
          <w:highlight w:val="none"/>
        </w:rPr>
      </w:pPr>
      <w:r>
        <w:rPr>
          <w:rFonts w:hint="eastAsia"/>
          <w:highlight w:val="none"/>
        </w:rPr>
        <w:t>二、不与招标人、其他投标人或者招标代理机构串通投标，损害国家利益、社会利益或他人的合法权益。</w:t>
      </w:r>
    </w:p>
    <w:p w14:paraId="28D49BA4">
      <w:pPr>
        <w:spacing w:line="360" w:lineRule="auto"/>
        <w:ind w:firstLine="480" w:firstLineChars="200"/>
        <w:rPr>
          <w:rFonts w:hint="eastAsia"/>
          <w:highlight w:val="none"/>
        </w:rPr>
      </w:pPr>
      <w:r>
        <w:rPr>
          <w:rFonts w:hint="eastAsia"/>
          <w:highlight w:val="none"/>
        </w:rPr>
        <w:t>三、不向招标人或评标委员会成员行贿，以谋取中标。</w:t>
      </w:r>
    </w:p>
    <w:p w14:paraId="7F63B7EB">
      <w:pPr>
        <w:spacing w:line="360" w:lineRule="auto"/>
        <w:ind w:firstLine="480" w:firstLineChars="200"/>
        <w:rPr>
          <w:rFonts w:hint="eastAsia"/>
          <w:highlight w:val="none"/>
        </w:rPr>
      </w:pPr>
      <w:r>
        <w:rPr>
          <w:rFonts w:hint="eastAsia"/>
          <w:highlight w:val="none"/>
        </w:rPr>
        <w:t>四、不以他人名义投标或者其他方式弄虚作假，骗取中标。</w:t>
      </w:r>
    </w:p>
    <w:p w14:paraId="2F93AE4E">
      <w:pPr>
        <w:spacing w:line="360" w:lineRule="auto"/>
        <w:ind w:firstLine="480" w:firstLineChars="200"/>
        <w:rPr>
          <w:rFonts w:hint="eastAsia"/>
          <w:highlight w:val="none"/>
        </w:rPr>
      </w:pPr>
      <w:r>
        <w:rPr>
          <w:rFonts w:hint="eastAsia"/>
          <w:highlight w:val="none"/>
        </w:rPr>
        <w:t>五、不进行缺乏事实根据或者法律依据的投诉。</w:t>
      </w:r>
    </w:p>
    <w:p w14:paraId="4F92AA98">
      <w:pPr>
        <w:spacing w:line="360" w:lineRule="auto"/>
        <w:ind w:firstLine="480" w:firstLineChars="200"/>
        <w:rPr>
          <w:rFonts w:hint="eastAsia"/>
          <w:highlight w:val="none"/>
        </w:rPr>
      </w:pPr>
      <w:r>
        <w:rPr>
          <w:rFonts w:hint="eastAsia"/>
          <w:highlight w:val="none"/>
        </w:rPr>
        <w:t>六、不在投标中哄抬价格或恶意压价。</w:t>
      </w:r>
    </w:p>
    <w:p w14:paraId="48A77544">
      <w:pPr>
        <w:spacing w:line="360" w:lineRule="auto"/>
        <w:ind w:firstLine="480" w:firstLineChars="200"/>
        <w:rPr>
          <w:rFonts w:hint="eastAsia"/>
          <w:highlight w:val="none"/>
        </w:rPr>
      </w:pPr>
      <w:r>
        <w:rPr>
          <w:rFonts w:hint="eastAsia"/>
          <w:highlight w:val="none"/>
        </w:rPr>
        <w:t>七、中标或成交后，不进行转包。</w:t>
      </w:r>
    </w:p>
    <w:p w14:paraId="5B4A88B2">
      <w:pPr>
        <w:spacing w:line="360" w:lineRule="auto"/>
        <w:ind w:firstLine="480" w:firstLineChars="200"/>
        <w:rPr>
          <w:rFonts w:hint="eastAsia"/>
          <w:highlight w:val="none"/>
        </w:rPr>
      </w:pPr>
      <w:r>
        <w:rPr>
          <w:rFonts w:hint="eastAsia"/>
          <w:highlight w:val="none"/>
        </w:rPr>
        <w:t>八、采购文件允许分包的情况下，经采购人同意分包的，我单位将加强对分包和劳务分包管理，对所分包非主体项目的安全、质量和进度承担责任，不拖欠农民工工资，按时将分包合同报采购人备案。</w:t>
      </w:r>
    </w:p>
    <w:p w14:paraId="556AEA15">
      <w:pPr>
        <w:spacing w:line="360" w:lineRule="auto"/>
        <w:ind w:firstLine="480" w:firstLineChars="200"/>
        <w:rPr>
          <w:rFonts w:hint="eastAsia"/>
          <w:highlight w:val="none"/>
        </w:rPr>
      </w:pPr>
      <w:r>
        <w:rPr>
          <w:rFonts w:hint="eastAsia"/>
          <w:highlight w:val="none"/>
        </w:rPr>
        <w:t>九、依法缴纳税收和社会保障资金，近三年内没有重大违法记录。</w:t>
      </w:r>
    </w:p>
    <w:p w14:paraId="01A3042B">
      <w:pPr>
        <w:spacing w:line="360" w:lineRule="auto"/>
        <w:ind w:firstLine="480" w:firstLineChars="200"/>
        <w:rPr>
          <w:rFonts w:hint="eastAsia"/>
          <w:highlight w:val="none"/>
        </w:rPr>
      </w:pPr>
      <w:r>
        <w:rPr>
          <w:rFonts w:hint="eastAsia"/>
          <w:highlight w:val="none"/>
        </w:rPr>
        <w:t>十、对所填报的中小企业声明及企业性质的真实性负责。</w:t>
      </w:r>
    </w:p>
    <w:p w14:paraId="65E3A59C">
      <w:pPr>
        <w:spacing w:line="360" w:lineRule="auto"/>
        <w:ind w:firstLine="480" w:firstLineChars="200"/>
        <w:rPr>
          <w:rFonts w:hint="eastAsia"/>
          <w:highlight w:val="none"/>
        </w:rPr>
      </w:pPr>
      <w:r>
        <w:rPr>
          <w:rFonts w:hint="eastAsia"/>
          <w:highlight w:val="none"/>
        </w:rPr>
        <w:t>十二、我单位为</w:t>
      </w:r>
      <w:r>
        <w:rPr>
          <w:rFonts w:hint="eastAsia"/>
          <w:highlight w:val="none"/>
          <w:u w:val="single"/>
        </w:rPr>
        <w:t>（选填：独立或联合体）</w:t>
      </w:r>
      <w:r>
        <w:rPr>
          <w:rFonts w:hint="eastAsia"/>
          <w:highlight w:val="none"/>
        </w:rPr>
        <w:t>投标，若为联合体投标的，双方对本项目承担连带责任。</w:t>
      </w:r>
    </w:p>
    <w:p w14:paraId="69553028">
      <w:pPr>
        <w:spacing w:line="360" w:lineRule="auto"/>
        <w:ind w:firstLine="480" w:firstLineChars="200"/>
        <w:rPr>
          <w:rFonts w:hint="eastAsia"/>
          <w:highlight w:val="none"/>
        </w:rPr>
      </w:pPr>
      <w:r>
        <w:rPr>
          <w:rFonts w:hint="eastAsia"/>
          <w:highlight w:val="none"/>
        </w:rPr>
        <w:t>十三、与我单位法定代表为同一人，或与我单位存在控股、管理单位的其他单位，不再参加本次项目同一包件的投标，否则我单位及与单位存在此类关系的单位的投标均无效。</w:t>
      </w:r>
    </w:p>
    <w:p w14:paraId="042555B6">
      <w:pPr>
        <w:spacing w:line="360" w:lineRule="auto"/>
        <w:ind w:firstLine="480" w:firstLineChars="200"/>
        <w:rPr>
          <w:rFonts w:hint="eastAsia"/>
          <w:highlight w:val="none"/>
        </w:rPr>
      </w:pPr>
      <w:r>
        <w:rPr>
          <w:rFonts w:hint="eastAsia"/>
          <w:highlight w:val="none"/>
        </w:rPr>
        <w:t>十四、本公司若违反本投标承诺，愿承担相应的法律责任。</w:t>
      </w:r>
    </w:p>
    <w:p w14:paraId="2755DF2A">
      <w:pPr>
        <w:spacing w:line="360" w:lineRule="auto"/>
        <w:ind w:firstLine="480" w:firstLineChars="200"/>
        <w:rPr>
          <w:rFonts w:hint="eastAsia"/>
          <w:highlight w:val="none"/>
          <w:u w:val="single"/>
        </w:rPr>
      </w:pPr>
      <w:r>
        <w:rPr>
          <w:rFonts w:hint="eastAsia"/>
          <w:highlight w:val="none"/>
        </w:rPr>
        <w:t>十五、其他承诺：</w:t>
      </w:r>
    </w:p>
    <w:p w14:paraId="245F2301">
      <w:pPr>
        <w:spacing w:line="360" w:lineRule="auto"/>
        <w:ind w:firstLine="480" w:firstLineChars="200"/>
        <w:rPr>
          <w:rFonts w:hint="eastAsia"/>
          <w:highlight w:val="none"/>
          <w:u w:val="single"/>
        </w:rPr>
      </w:pPr>
    </w:p>
    <w:p w14:paraId="70CEA18C">
      <w:pPr>
        <w:spacing w:line="360" w:lineRule="auto"/>
        <w:ind w:firstLine="480" w:firstLineChars="200"/>
        <w:rPr>
          <w:rFonts w:hint="eastAsia"/>
          <w:highlight w:val="none"/>
        </w:rPr>
      </w:pPr>
      <w:r>
        <w:rPr>
          <w:rFonts w:hint="eastAsia"/>
          <w:highlight w:val="none"/>
        </w:rPr>
        <w:t>投标单位（盖章）：</w:t>
      </w:r>
    </w:p>
    <w:p w14:paraId="42185CF0">
      <w:pPr>
        <w:pStyle w:val="11"/>
        <w:spacing w:line="360" w:lineRule="auto"/>
        <w:rPr>
          <w:rFonts w:hint="eastAsia"/>
          <w:szCs w:val="24"/>
          <w:highlight w:val="none"/>
          <w:u w:val="single"/>
        </w:rPr>
      </w:pPr>
      <w:r>
        <w:rPr>
          <w:rFonts w:hint="eastAsia"/>
          <w:szCs w:val="24"/>
          <w:highlight w:val="none"/>
        </w:rPr>
        <w:t>供应商法定代表人或委托代理人（签字或盖章）：</w:t>
      </w:r>
    </w:p>
    <w:p w14:paraId="3BB23E60">
      <w:pPr>
        <w:spacing w:line="360" w:lineRule="auto"/>
        <w:ind w:firstLine="480" w:firstLineChars="200"/>
        <w:rPr>
          <w:rFonts w:hint="eastAsia"/>
          <w:highlight w:val="none"/>
        </w:rPr>
      </w:pPr>
      <w:r>
        <w:rPr>
          <w:rFonts w:hint="eastAsia"/>
          <w:highlight w:val="none"/>
        </w:rPr>
        <w:t>年     月    日</w:t>
      </w:r>
    </w:p>
    <w:p w14:paraId="400FC4E3">
      <w:pPr>
        <w:spacing w:line="360" w:lineRule="auto"/>
        <w:ind w:firstLine="480" w:firstLineChars="200"/>
        <w:rPr>
          <w:rFonts w:hint="eastAsia"/>
          <w:highlight w:val="none"/>
        </w:rPr>
      </w:pPr>
      <w:r>
        <w:rPr>
          <w:rFonts w:hint="eastAsia"/>
          <w:highlight w:val="none"/>
        </w:rPr>
        <w:br w:type="page"/>
      </w:r>
    </w:p>
    <w:p w14:paraId="38011467">
      <w:pPr>
        <w:pStyle w:val="23"/>
        <w:spacing w:line="360" w:lineRule="auto"/>
        <w:rPr>
          <w:rFonts w:hint="eastAsia"/>
          <w:sz w:val="24"/>
          <w:highlight w:val="none"/>
        </w:rPr>
      </w:pPr>
    </w:p>
    <w:p w14:paraId="1C788864">
      <w:pPr>
        <w:spacing w:line="360" w:lineRule="auto"/>
        <w:jc w:val="center"/>
        <w:rPr>
          <w:rFonts w:hint="eastAsia"/>
          <w:b/>
          <w:sz w:val="30"/>
          <w:szCs w:val="20"/>
          <w:highlight w:val="none"/>
        </w:rPr>
      </w:pPr>
      <w:r>
        <w:rPr>
          <w:rFonts w:hint="eastAsia"/>
          <w:b/>
          <w:sz w:val="30"/>
          <w:szCs w:val="20"/>
          <w:highlight w:val="none"/>
        </w:rPr>
        <w:t>十四、在经营活动中没有重大违法记录的承诺</w:t>
      </w:r>
    </w:p>
    <w:p w14:paraId="5715170E">
      <w:pPr>
        <w:pStyle w:val="33"/>
        <w:widowControl w:val="0"/>
        <w:spacing w:before="0" w:beforeAutospacing="0" w:after="0" w:afterAutospacing="0" w:line="360" w:lineRule="auto"/>
        <w:ind w:firstLine="420"/>
        <w:jc w:val="both"/>
        <w:rPr>
          <w:rFonts w:hint="eastAsia"/>
          <w:szCs w:val="20"/>
          <w:highlight w:val="none"/>
        </w:rPr>
      </w:pPr>
    </w:p>
    <w:p w14:paraId="5F224CCD">
      <w:pPr>
        <w:spacing w:line="360" w:lineRule="auto"/>
        <w:rPr>
          <w:rFonts w:hint="eastAsia"/>
          <w:szCs w:val="32"/>
          <w:highlight w:val="none"/>
        </w:rPr>
      </w:pPr>
      <w:r>
        <w:rPr>
          <w:rFonts w:hint="eastAsia"/>
          <w:szCs w:val="32"/>
          <w:highlight w:val="none"/>
        </w:rPr>
        <w:t>致：</w:t>
      </w:r>
    </w:p>
    <w:p w14:paraId="41E930B6">
      <w:pPr>
        <w:spacing w:line="360" w:lineRule="auto"/>
        <w:ind w:firstLine="480"/>
        <w:rPr>
          <w:rFonts w:hint="eastAsia"/>
          <w:szCs w:val="32"/>
          <w:highlight w:val="none"/>
        </w:rPr>
      </w:pPr>
      <w:r>
        <w:rPr>
          <w:rFonts w:hint="eastAsia"/>
          <w:szCs w:val="32"/>
          <w:highlight w:val="none"/>
        </w:rPr>
        <w:t>我单位近三年内，在经营活动中没有重大违法记录，特此承诺。</w:t>
      </w:r>
    </w:p>
    <w:p w14:paraId="29FE8099">
      <w:pPr>
        <w:spacing w:line="360" w:lineRule="auto"/>
        <w:ind w:firstLine="480"/>
        <w:rPr>
          <w:rFonts w:hint="eastAsia"/>
          <w:szCs w:val="32"/>
          <w:highlight w:val="none"/>
        </w:rPr>
      </w:pPr>
      <w:r>
        <w:rPr>
          <w:rFonts w:hint="eastAsia"/>
          <w:szCs w:val="32"/>
          <w:highlight w:val="none"/>
        </w:rPr>
        <w:t>若采购单位在本项目采购过程中发现我单位近三年内的经营活动中有重大违法记录，我单位将无条件地退出本项目的招标活动，并承担因此引起的一切后果。</w:t>
      </w:r>
    </w:p>
    <w:p w14:paraId="23983631">
      <w:pPr>
        <w:spacing w:line="360" w:lineRule="auto"/>
        <w:ind w:firstLine="480"/>
        <w:rPr>
          <w:rFonts w:hint="eastAsia"/>
          <w:szCs w:val="32"/>
          <w:highlight w:val="none"/>
        </w:rPr>
      </w:pPr>
    </w:p>
    <w:p w14:paraId="2163A9A7">
      <w:pPr>
        <w:spacing w:line="360" w:lineRule="auto"/>
        <w:ind w:right="3360" w:rightChars="1400" w:firstLine="480"/>
        <w:rPr>
          <w:rFonts w:hint="eastAsia"/>
          <w:szCs w:val="32"/>
          <w:highlight w:val="none"/>
        </w:rPr>
      </w:pPr>
      <w:r>
        <w:rPr>
          <w:rFonts w:hint="eastAsia"/>
          <w:szCs w:val="32"/>
          <w:highlight w:val="none"/>
        </w:rPr>
        <w:t>投标单位：（盖章）</w:t>
      </w:r>
    </w:p>
    <w:p w14:paraId="077039D2">
      <w:pPr>
        <w:spacing w:line="360" w:lineRule="auto"/>
        <w:ind w:right="1200" w:rightChars="500" w:firstLine="480"/>
        <w:jc w:val="right"/>
        <w:rPr>
          <w:rFonts w:hint="eastAsia"/>
          <w:szCs w:val="32"/>
          <w:highlight w:val="none"/>
        </w:rPr>
      </w:pPr>
    </w:p>
    <w:p w14:paraId="7766F212">
      <w:pPr>
        <w:pStyle w:val="11"/>
        <w:spacing w:line="360" w:lineRule="auto"/>
        <w:rPr>
          <w:rFonts w:hint="eastAsia"/>
          <w:szCs w:val="24"/>
          <w:highlight w:val="none"/>
          <w:u w:val="single"/>
        </w:rPr>
      </w:pPr>
      <w:r>
        <w:rPr>
          <w:rFonts w:hint="eastAsia"/>
          <w:szCs w:val="24"/>
          <w:highlight w:val="none"/>
        </w:rPr>
        <w:t>供应商法定代表人或委托代理人（签字或盖章）：</w:t>
      </w:r>
    </w:p>
    <w:p w14:paraId="43619300">
      <w:pPr>
        <w:spacing w:line="360" w:lineRule="auto"/>
        <w:ind w:right="3720" w:rightChars="1550" w:firstLine="480"/>
        <w:jc w:val="right"/>
        <w:rPr>
          <w:rFonts w:hint="eastAsia"/>
          <w:szCs w:val="32"/>
          <w:highlight w:val="none"/>
        </w:rPr>
      </w:pPr>
    </w:p>
    <w:p w14:paraId="11514796">
      <w:pPr>
        <w:spacing w:line="360" w:lineRule="auto"/>
        <w:ind w:right="2400" w:rightChars="1000" w:firstLine="480"/>
        <w:rPr>
          <w:rFonts w:hint="eastAsia"/>
          <w:szCs w:val="32"/>
          <w:highlight w:val="none"/>
        </w:rPr>
      </w:pPr>
      <w:r>
        <w:rPr>
          <w:rFonts w:hint="eastAsia"/>
          <w:szCs w:val="32"/>
          <w:highlight w:val="none"/>
        </w:rPr>
        <w:t>日期：年月日</w:t>
      </w:r>
    </w:p>
    <w:p w14:paraId="7633FE23">
      <w:pPr>
        <w:pStyle w:val="23"/>
        <w:spacing w:line="360" w:lineRule="auto"/>
        <w:rPr>
          <w:rFonts w:hint="eastAsia"/>
          <w:highlight w:val="none"/>
        </w:rPr>
      </w:pPr>
      <w:r>
        <w:rPr>
          <w:highlight w:val="none"/>
        </w:rPr>
        <w:br w:type="page"/>
      </w:r>
    </w:p>
    <w:p w14:paraId="43A96AD8">
      <w:pPr>
        <w:pStyle w:val="23"/>
        <w:spacing w:line="360" w:lineRule="auto"/>
        <w:rPr>
          <w:rFonts w:hint="eastAsia"/>
          <w:sz w:val="24"/>
          <w:highlight w:val="none"/>
        </w:rPr>
      </w:pPr>
    </w:p>
    <w:p w14:paraId="5574AA1F">
      <w:pPr>
        <w:spacing w:line="360" w:lineRule="auto"/>
        <w:jc w:val="center"/>
        <w:rPr>
          <w:rFonts w:hint="eastAsia"/>
          <w:b/>
          <w:sz w:val="30"/>
          <w:szCs w:val="20"/>
          <w:highlight w:val="none"/>
        </w:rPr>
      </w:pPr>
      <w:bookmarkStart w:id="133" w:name="_Hlk107853823"/>
      <w:r>
        <w:rPr>
          <w:rFonts w:hint="eastAsia"/>
          <w:b/>
          <w:sz w:val="30"/>
          <w:szCs w:val="20"/>
          <w:highlight w:val="none"/>
        </w:rPr>
        <w:t>十五、财务状况及税收、社会保障资金缴纳情况声明函</w:t>
      </w:r>
    </w:p>
    <w:p w14:paraId="77AF564D">
      <w:pPr>
        <w:spacing w:line="360" w:lineRule="auto"/>
        <w:ind w:firstLine="420"/>
        <w:rPr>
          <w:rFonts w:hint="eastAsia"/>
          <w:bCs/>
          <w:highlight w:val="none"/>
        </w:rPr>
      </w:pPr>
    </w:p>
    <w:p w14:paraId="1C8ECF85">
      <w:pPr>
        <w:spacing w:line="360" w:lineRule="auto"/>
        <w:ind w:firstLine="420"/>
        <w:rPr>
          <w:rFonts w:hint="eastAsia"/>
          <w:bCs/>
          <w:highlight w:val="none"/>
        </w:rPr>
      </w:pPr>
      <w:r>
        <w:rPr>
          <w:rFonts w:hint="eastAsia"/>
          <w:bCs/>
          <w:highlight w:val="none"/>
        </w:rPr>
        <w:t>我方</w:t>
      </w:r>
      <w:r>
        <w:rPr>
          <w:rFonts w:hint="eastAsia"/>
          <w:bCs/>
          <w:highlight w:val="none"/>
          <w:u w:val="single"/>
        </w:rPr>
        <w:t>（供应商名称）</w:t>
      </w:r>
      <w:r>
        <w:rPr>
          <w:rFonts w:hint="eastAsia"/>
          <w:bCs/>
          <w:highlight w:val="none"/>
        </w:rPr>
        <w:t>符合《中华人民共和国政府采购法》第二十二条第一款第（二）项、第（四）项规定条件，具体包括：</w:t>
      </w:r>
    </w:p>
    <w:p w14:paraId="2DBBEB6C">
      <w:pPr>
        <w:pStyle w:val="21"/>
        <w:spacing w:line="360" w:lineRule="auto"/>
        <w:rPr>
          <w:rFonts w:hint="eastAsia"/>
          <w:highlight w:val="none"/>
        </w:rPr>
      </w:pPr>
    </w:p>
    <w:p w14:paraId="1D435A5D">
      <w:pPr>
        <w:pStyle w:val="21"/>
        <w:numPr>
          <w:ilvl w:val="0"/>
          <w:numId w:val="10"/>
        </w:numPr>
        <w:adjustRightInd w:val="0"/>
        <w:spacing w:line="360" w:lineRule="auto"/>
        <w:textAlignment w:val="baseline"/>
        <w:rPr>
          <w:rFonts w:hint="eastAsia"/>
          <w:highlight w:val="none"/>
        </w:rPr>
      </w:pPr>
      <w:r>
        <w:rPr>
          <w:rFonts w:hint="eastAsia"/>
          <w:highlight w:val="none"/>
        </w:rPr>
        <w:t>具有健全的财务会计制度；</w:t>
      </w:r>
    </w:p>
    <w:p w14:paraId="3BEE6A3E">
      <w:pPr>
        <w:pStyle w:val="21"/>
        <w:numPr>
          <w:ilvl w:val="0"/>
          <w:numId w:val="10"/>
        </w:numPr>
        <w:adjustRightInd w:val="0"/>
        <w:spacing w:line="360" w:lineRule="auto"/>
        <w:textAlignment w:val="baseline"/>
        <w:rPr>
          <w:rFonts w:hint="eastAsia"/>
          <w:highlight w:val="none"/>
        </w:rPr>
      </w:pPr>
      <w:r>
        <w:rPr>
          <w:rFonts w:hint="eastAsia"/>
          <w:highlight w:val="none"/>
        </w:rPr>
        <w:t>有依法缴纳税收和社会保障资金的良好记录。</w:t>
      </w:r>
    </w:p>
    <w:p w14:paraId="446E98CD">
      <w:pPr>
        <w:pStyle w:val="21"/>
        <w:spacing w:line="360" w:lineRule="auto"/>
        <w:ind w:firstLine="0"/>
        <w:rPr>
          <w:rFonts w:hint="eastAsia"/>
          <w:highlight w:val="none"/>
        </w:rPr>
      </w:pPr>
    </w:p>
    <w:p w14:paraId="61E8C6DD">
      <w:pPr>
        <w:pStyle w:val="21"/>
        <w:spacing w:line="360" w:lineRule="auto"/>
        <w:ind w:firstLine="0"/>
        <w:rPr>
          <w:rFonts w:hint="eastAsia"/>
          <w:highlight w:val="none"/>
        </w:rPr>
      </w:pPr>
      <w:r>
        <w:rPr>
          <w:rFonts w:hint="eastAsia"/>
          <w:highlight w:val="none"/>
        </w:rPr>
        <w:t>特此声明。</w:t>
      </w:r>
    </w:p>
    <w:p w14:paraId="3A21F6AF">
      <w:pPr>
        <w:pStyle w:val="21"/>
        <w:spacing w:line="360" w:lineRule="auto"/>
        <w:ind w:firstLine="0"/>
        <w:rPr>
          <w:rFonts w:hint="eastAsia"/>
          <w:highlight w:val="none"/>
        </w:rPr>
      </w:pPr>
      <w:r>
        <w:rPr>
          <w:rFonts w:hint="eastAsia"/>
          <w:highlight w:val="none"/>
        </w:rPr>
        <w:t>我方对上述声明的真实性负责。如有虚假，将依法承担相应责任。</w:t>
      </w:r>
    </w:p>
    <w:p w14:paraId="44016EB7">
      <w:pPr>
        <w:pStyle w:val="21"/>
        <w:spacing w:line="360" w:lineRule="auto"/>
        <w:ind w:firstLine="0"/>
        <w:rPr>
          <w:rFonts w:hint="eastAsia"/>
          <w:highlight w:val="none"/>
        </w:rPr>
      </w:pPr>
    </w:p>
    <w:p w14:paraId="060145D7">
      <w:pPr>
        <w:pStyle w:val="21"/>
        <w:spacing w:line="360" w:lineRule="auto"/>
        <w:ind w:firstLine="0"/>
        <w:jc w:val="right"/>
        <w:rPr>
          <w:rFonts w:hint="eastAsia"/>
          <w:highlight w:val="none"/>
        </w:rPr>
      </w:pPr>
      <w:r>
        <w:rPr>
          <w:rFonts w:hint="eastAsia"/>
          <w:highlight w:val="none"/>
        </w:rPr>
        <w:t>供应商名称（公章）</w:t>
      </w:r>
    </w:p>
    <w:p w14:paraId="79E0F709">
      <w:pPr>
        <w:pStyle w:val="21"/>
        <w:spacing w:line="360" w:lineRule="auto"/>
        <w:ind w:right="960" w:firstLine="6960" w:firstLineChars="2900"/>
        <w:rPr>
          <w:rFonts w:hint="eastAsia"/>
          <w:highlight w:val="none"/>
        </w:rPr>
      </w:pPr>
      <w:r>
        <w:rPr>
          <w:rFonts w:hint="eastAsia"/>
          <w:highlight w:val="none"/>
        </w:rPr>
        <w:t>日期：</w:t>
      </w:r>
    </w:p>
    <w:bookmarkEnd w:id="133"/>
    <w:p w14:paraId="4671FB5F">
      <w:pPr>
        <w:spacing w:line="360" w:lineRule="auto"/>
        <w:ind w:firstLine="480" w:firstLineChars="200"/>
        <w:rPr>
          <w:rFonts w:hint="eastAsia"/>
          <w:highlight w:val="none"/>
        </w:rPr>
      </w:pPr>
      <w:r>
        <w:rPr>
          <w:highlight w:val="none"/>
        </w:rPr>
        <w:br w:type="page"/>
      </w:r>
    </w:p>
    <w:bookmarkEnd w:id="108"/>
    <w:bookmarkEnd w:id="109"/>
    <w:bookmarkEnd w:id="110"/>
    <w:bookmarkEnd w:id="116"/>
    <w:bookmarkEnd w:id="117"/>
    <w:bookmarkEnd w:id="118"/>
    <w:p w14:paraId="1DC542F5">
      <w:pPr>
        <w:pStyle w:val="2"/>
        <w:spacing w:line="360" w:lineRule="auto"/>
        <w:rPr>
          <w:rFonts w:hint="eastAsia"/>
          <w:spacing w:val="0"/>
          <w:sz w:val="40"/>
          <w:highlight w:val="none"/>
        </w:rPr>
      </w:pPr>
      <w:bookmarkStart w:id="134" w:name="_Toc72335538"/>
      <w:bookmarkStart w:id="135" w:name="_Toc267992719"/>
      <w:bookmarkStart w:id="136" w:name="_Toc69565546"/>
      <w:bookmarkStart w:id="137" w:name="_Toc31363"/>
      <w:r>
        <w:rPr>
          <w:rFonts w:hint="eastAsia"/>
          <w:spacing w:val="0"/>
          <w:sz w:val="40"/>
          <w:highlight w:val="none"/>
        </w:rPr>
        <w:t>第六部分  合同主要条款</w:t>
      </w:r>
      <w:bookmarkEnd w:id="134"/>
      <w:bookmarkEnd w:id="135"/>
      <w:bookmarkEnd w:id="136"/>
      <w:bookmarkEnd w:id="137"/>
    </w:p>
    <w:p w14:paraId="33A66382">
      <w:pPr>
        <w:spacing w:line="360" w:lineRule="auto"/>
        <w:jc w:val="center"/>
        <w:rPr>
          <w:rFonts w:hint="eastAsia" w:cs="Arial"/>
          <w:b/>
          <w:bCs/>
          <w:kern w:val="36"/>
          <w:highlight w:val="none"/>
        </w:rPr>
      </w:pPr>
      <w:r>
        <w:rPr>
          <w:rFonts w:hint="eastAsia" w:cs="Arial"/>
          <w:b/>
          <w:bCs/>
          <w:kern w:val="36"/>
          <w:highlight w:val="none"/>
        </w:rPr>
        <w:t>（以下合同仅做参考，最终以中标后招标人下发为准）</w:t>
      </w:r>
    </w:p>
    <w:p w14:paraId="1144360A">
      <w:pPr>
        <w:spacing w:line="360" w:lineRule="auto"/>
        <w:jc w:val="right"/>
        <w:rPr>
          <w:rFonts w:hint="eastAsia" w:cs="Arial"/>
          <w:highlight w:val="none"/>
        </w:rPr>
      </w:pPr>
      <w:r>
        <w:rPr>
          <w:rFonts w:hint="eastAsia" w:cs="Arial"/>
          <w:b/>
          <w:bCs/>
          <w:kern w:val="36"/>
          <w:highlight w:val="none"/>
        </w:rPr>
        <w:t>合同统一编号：</w:t>
      </w:r>
    </w:p>
    <w:p w14:paraId="00D9DFE0">
      <w:pPr>
        <w:spacing w:line="360" w:lineRule="auto"/>
        <w:jc w:val="right"/>
        <w:rPr>
          <w:rFonts w:hint="eastAsia" w:cs="Arial"/>
          <w:b/>
          <w:bCs/>
          <w:kern w:val="36"/>
          <w:highlight w:val="none"/>
        </w:rPr>
      </w:pPr>
      <w:r>
        <w:rPr>
          <w:rFonts w:hint="eastAsia" w:cs="Arial"/>
          <w:b/>
          <w:bCs/>
          <w:kern w:val="36"/>
          <w:highlight w:val="none"/>
        </w:rPr>
        <w:t>合同内部编号：</w:t>
      </w:r>
    </w:p>
    <w:p w14:paraId="416E375E">
      <w:pPr>
        <w:spacing w:line="360" w:lineRule="auto"/>
        <w:rPr>
          <w:rFonts w:hint="eastAsia" w:cs="Arial"/>
          <w:highlight w:val="none"/>
        </w:rPr>
      </w:pPr>
      <w:r>
        <w:rPr>
          <w:rFonts w:hint="eastAsia" w:cs="Arial"/>
          <w:kern w:val="36"/>
          <w:highlight w:val="none"/>
        </w:rPr>
        <w:t>合同各方：</w:t>
      </w:r>
    </w:p>
    <w:p w14:paraId="3C4EE452">
      <w:pPr>
        <w:spacing w:line="360" w:lineRule="auto"/>
        <w:rPr>
          <w:rFonts w:hint="eastAsia" w:cs="Arial"/>
          <w:kern w:val="36"/>
          <w:highlight w:val="none"/>
        </w:rPr>
      </w:pPr>
      <w:r>
        <w:rPr>
          <w:rFonts w:hint="eastAsia" w:cs="Arial"/>
          <w:kern w:val="36"/>
          <w:highlight w:val="none"/>
        </w:rPr>
        <w:t>采购人：</w:t>
      </w:r>
    </w:p>
    <w:p w14:paraId="3999F48F">
      <w:pPr>
        <w:spacing w:line="360" w:lineRule="auto"/>
        <w:rPr>
          <w:rFonts w:hint="eastAsia" w:cs="Arial"/>
          <w:kern w:val="36"/>
          <w:highlight w:val="none"/>
        </w:rPr>
      </w:pPr>
      <w:r>
        <w:rPr>
          <w:rFonts w:hint="eastAsia" w:cs="Arial"/>
          <w:kern w:val="36"/>
          <w:highlight w:val="none"/>
        </w:rPr>
        <w:t>地址：</w:t>
      </w:r>
    </w:p>
    <w:p w14:paraId="6247D276">
      <w:pPr>
        <w:spacing w:line="360" w:lineRule="auto"/>
        <w:rPr>
          <w:rFonts w:hint="eastAsia" w:cs="Arial"/>
          <w:kern w:val="36"/>
          <w:highlight w:val="none"/>
        </w:rPr>
      </w:pPr>
      <w:r>
        <w:rPr>
          <w:rFonts w:hint="eastAsia" w:cs="Arial"/>
          <w:kern w:val="36"/>
          <w:highlight w:val="none"/>
        </w:rPr>
        <w:t>邮政编码：</w:t>
      </w:r>
    </w:p>
    <w:p w14:paraId="7861E1C4">
      <w:pPr>
        <w:spacing w:line="360" w:lineRule="auto"/>
        <w:rPr>
          <w:rFonts w:hint="eastAsia" w:cs="Arial"/>
          <w:kern w:val="36"/>
          <w:highlight w:val="none"/>
        </w:rPr>
      </w:pPr>
      <w:r>
        <w:rPr>
          <w:rFonts w:hint="eastAsia" w:cs="Arial"/>
          <w:kern w:val="36"/>
          <w:highlight w:val="none"/>
        </w:rPr>
        <w:t>电话：</w:t>
      </w:r>
    </w:p>
    <w:p w14:paraId="5E1F016E">
      <w:pPr>
        <w:spacing w:line="360" w:lineRule="auto"/>
        <w:rPr>
          <w:rFonts w:hint="eastAsia" w:cs="Arial"/>
          <w:kern w:val="36"/>
          <w:highlight w:val="none"/>
        </w:rPr>
      </w:pPr>
      <w:r>
        <w:rPr>
          <w:rFonts w:hint="eastAsia" w:cs="Arial"/>
          <w:kern w:val="36"/>
          <w:highlight w:val="none"/>
        </w:rPr>
        <w:t>传真：</w:t>
      </w:r>
    </w:p>
    <w:p w14:paraId="6686C215">
      <w:pPr>
        <w:spacing w:line="360" w:lineRule="auto"/>
        <w:rPr>
          <w:rFonts w:hint="eastAsia" w:cs="Arial"/>
          <w:kern w:val="36"/>
          <w:highlight w:val="none"/>
        </w:rPr>
      </w:pPr>
      <w:r>
        <w:rPr>
          <w:rFonts w:hint="eastAsia" w:cs="Arial"/>
          <w:kern w:val="36"/>
          <w:highlight w:val="none"/>
        </w:rPr>
        <w:t>联系人：</w:t>
      </w:r>
    </w:p>
    <w:p w14:paraId="5AD099C3">
      <w:pPr>
        <w:spacing w:line="360" w:lineRule="auto"/>
        <w:rPr>
          <w:rFonts w:hint="eastAsia" w:cs="Arial"/>
          <w:highlight w:val="none"/>
        </w:rPr>
      </w:pPr>
    </w:p>
    <w:p w14:paraId="0FA7AA88">
      <w:pPr>
        <w:spacing w:line="360" w:lineRule="auto"/>
        <w:rPr>
          <w:rFonts w:hint="eastAsia" w:cs="Arial"/>
          <w:highlight w:val="none"/>
        </w:rPr>
      </w:pPr>
      <w:r>
        <w:rPr>
          <w:rFonts w:hint="eastAsia" w:cs="Arial"/>
          <w:highlight w:val="none"/>
        </w:rPr>
        <w:t>投标人：</w:t>
      </w:r>
    </w:p>
    <w:p w14:paraId="2E45CAF8">
      <w:pPr>
        <w:spacing w:line="360" w:lineRule="auto"/>
        <w:rPr>
          <w:rFonts w:hint="eastAsia" w:cs="Arial"/>
          <w:highlight w:val="none"/>
        </w:rPr>
      </w:pPr>
      <w:r>
        <w:rPr>
          <w:rFonts w:hint="eastAsia" w:cs="Arial"/>
          <w:highlight w:val="none"/>
        </w:rPr>
        <w:t>地址：</w:t>
      </w:r>
    </w:p>
    <w:p w14:paraId="46886256">
      <w:pPr>
        <w:spacing w:line="360" w:lineRule="auto"/>
        <w:rPr>
          <w:rFonts w:hint="eastAsia" w:cs="Arial"/>
          <w:highlight w:val="none"/>
        </w:rPr>
      </w:pPr>
      <w:r>
        <w:rPr>
          <w:rFonts w:hint="eastAsia" w:cs="Arial"/>
          <w:highlight w:val="none"/>
        </w:rPr>
        <w:t>邮政编码：</w:t>
      </w:r>
    </w:p>
    <w:p w14:paraId="793159B3">
      <w:pPr>
        <w:spacing w:line="360" w:lineRule="auto"/>
        <w:rPr>
          <w:rFonts w:hint="eastAsia" w:cs="Arial"/>
          <w:highlight w:val="none"/>
        </w:rPr>
      </w:pPr>
      <w:r>
        <w:rPr>
          <w:rFonts w:hint="eastAsia" w:cs="Arial"/>
          <w:highlight w:val="none"/>
        </w:rPr>
        <w:t>电话：</w:t>
      </w:r>
    </w:p>
    <w:p w14:paraId="754B2DC5">
      <w:pPr>
        <w:spacing w:line="360" w:lineRule="auto"/>
        <w:rPr>
          <w:rFonts w:hint="eastAsia" w:cs="Arial"/>
          <w:highlight w:val="none"/>
        </w:rPr>
      </w:pPr>
      <w:r>
        <w:rPr>
          <w:rFonts w:hint="eastAsia" w:cs="Arial"/>
          <w:highlight w:val="none"/>
        </w:rPr>
        <w:t>传真：</w:t>
      </w:r>
    </w:p>
    <w:p w14:paraId="6027E79C">
      <w:pPr>
        <w:spacing w:line="360" w:lineRule="auto"/>
        <w:rPr>
          <w:rFonts w:hint="eastAsia" w:cs="Arial"/>
          <w:highlight w:val="none"/>
        </w:rPr>
      </w:pPr>
      <w:r>
        <w:rPr>
          <w:rFonts w:hint="eastAsia" w:cs="Arial"/>
          <w:highlight w:val="none"/>
        </w:rPr>
        <w:t>联系人：</w:t>
      </w:r>
    </w:p>
    <w:p w14:paraId="75ED2E0D">
      <w:pPr>
        <w:widowControl w:val="0"/>
        <w:spacing w:line="520" w:lineRule="exact"/>
        <w:ind w:firstLine="480" w:firstLineChars="200"/>
        <w:jc w:val="both"/>
        <w:rPr>
          <w:rFonts w:hint="eastAsia"/>
          <w:szCs w:val="20"/>
          <w:highlight w:val="none"/>
        </w:rPr>
      </w:pPr>
      <w:bookmarkStart w:id="138" w:name="_Hlk96330001"/>
      <w:bookmarkStart w:id="139" w:name="_Hlk89182375"/>
      <w:bookmarkStart w:id="140" w:name="_Hlk82586927"/>
      <w:bookmarkStart w:id="141" w:name="_Hlk95396667"/>
      <w:r>
        <w:rPr>
          <w:rFonts w:hint="eastAsia"/>
          <w:szCs w:val="20"/>
          <w:highlight w:val="none"/>
        </w:rPr>
        <w:t>根据《中华人民共和国民法典》之规定，本合同当事人在平等、自愿的基础上，经协商一致，同意按下述条款和条件签署本合同：</w:t>
      </w:r>
    </w:p>
    <w:p w14:paraId="270C9585">
      <w:pPr>
        <w:widowControl w:val="0"/>
        <w:spacing w:line="520" w:lineRule="exact"/>
        <w:ind w:firstLine="480" w:firstLineChars="200"/>
        <w:jc w:val="both"/>
        <w:rPr>
          <w:rFonts w:hint="eastAsia"/>
          <w:szCs w:val="20"/>
          <w:highlight w:val="none"/>
          <w:lang w:val="en"/>
        </w:rPr>
      </w:pPr>
      <w:r>
        <w:rPr>
          <w:rFonts w:hint="eastAsia"/>
          <w:szCs w:val="20"/>
          <w:highlight w:val="none"/>
          <w:lang w:val="en"/>
        </w:rPr>
        <w:t>1.乙方根据本合同的规定向甲方提供以下服务</w:t>
      </w:r>
    </w:p>
    <w:p w14:paraId="28D0DF44">
      <w:pPr>
        <w:widowControl w:val="0"/>
        <w:spacing w:line="520" w:lineRule="exact"/>
        <w:ind w:firstLine="480" w:firstLineChars="200"/>
        <w:jc w:val="both"/>
        <w:rPr>
          <w:rFonts w:hint="eastAsia"/>
          <w:szCs w:val="20"/>
          <w:highlight w:val="none"/>
        </w:rPr>
      </w:pPr>
      <w:r>
        <w:rPr>
          <w:rFonts w:hint="eastAsia"/>
          <w:szCs w:val="20"/>
          <w:highlight w:val="none"/>
        </w:rPr>
        <w:t>1</w:t>
      </w:r>
      <w:r>
        <w:rPr>
          <w:szCs w:val="20"/>
          <w:highlight w:val="none"/>
          <w:lang w:val="en"/>
        </w:rPr>
        <w:t>.</w:t>
      </w:r>
      <w:r>
        <w:rPr>
          <w:rFonts w:hint="eastAsia"/>
          <w:szCs w:val="20"/>
          <w:highlight w:val="none"/>
        </w:rPr>
        <w:t>1 乙方所提供的服务其来源应符合国家的有关规定，服务的内容、要求、服务质量等详见招标文件和投标文件</w:t>
      </w:r>
    </w:p>
    <w:p w14:paraId="70120646">
      <w:pPr>
        <w:widowControl w:val="0"/>
        <w:spacing w:line="520" w:lineRule="exact"/>
        <w:ind w:firstLine="480" w:firstLineChars="200"/>
        <w:jc w:val="both"/>
        <w:rPr>
          <w:rFonts w:hint="eastAsia"/>
          <w:szCs w:val="20"/>
          <w:highlight w:val="none"/>
        </w:rPr>
      </w:pPr>
      <w:r>
        <w:rPr>
          <w:rFonts w:hint="eastAsia"/>
          <w:szCs w:val="20"/>
          <w:highlight w:val="none"/>
        </w:rPr>
        <w:t>1</w:t>
      </w:r>
      <w:r>
        <w:rPr>
          <w:szCs w:val="20"/>
          <w:highlight w:val="none"/>
          <w:lang w:val="en"/>
        </w:rPr>
        <w:t>.</w:t>
      </w:r>
      <w:r>
        <w:rPr>
          <w:rFonts w:hint="eastAsia"/>
          <w:szCs w:val="20"/>
          <w:highlight w:val="none"/>
        </w:rPr>
        <w:t>2 项目服务内容主要为：</w:t>
      </w:r>
    </w:p>
    <w:p w14:paraId="3107AEB1">
      <w:pPr>
        <w:widowControl w:val="0"/>
        <w:spacing w:line="520" w:lineRule="exact"/>
        <w:ind w:firstLine="480" w:firstLineChars="200"/>
        <w:jc w:val="both"/>
        <w:rPr>
          <w:rFonts w:hint="eastAsia"/>
          <w:szCs w:val="20"/>
          <w:highlight w:val="none"/>
          <w:u w:val="single"/>
        </w:rPr>
      </w:pPr>
      <w:r>
        <w:rPr>
          <w:rFonts w:hint="eastAsia"/>
          <w:szCs w:val="20"/>
          <w:highlight w:val="none"/>
        </w:rPr>
        <w:t>“十五五”建设用地减量化及一般耕地复垦实施方案。</w:t>
      </w:r>
    </w:p>
    <w:p w14:paraId="0EC59398">
      <w:pPr>
        <w:widowControl w:val="0"/>
        <w:spacing w:line="520" w:lineRule="exact"/>
        <w:ind w:firstLine="480" w:firstLineChars="200"/>
        <w:jc w:val="both"/>
        <w:rPr>
          <w:rFonts w:hint="eastAsia"/>
          <w:szCs w:val="20"/>
          <w:highlight w:val="none"/>
          <w:lang w:val="en"/>
        </w:rPr>
      </w:pPr>
      <w:r>
        <w:rPr>
          <w:rFonts w:hint="eastAsia"/>
          <w:szCs w:val="20"/>
          <w:highlight w:val="none"/>
          <w:lang w:val="en"/>
        </w:rPr>
        <w:t>2.合同价格、服务地点和服务期限</w:t>
      </w:r>
    </w:p>
    <w:p w14:paraId="4CBBF926">
      <w:pPr>
        <w:widowControl w:val="0"/>
        <w:spacing w:line="520" w:lineRule="exact"/>
        <w:ind w:firstLine="480" w:firstLineChars="200"/>
        <w:jc w:val="both"/>
        <w:rPr>
          <w:rFonts w:hint="eastAsia"/>
          <w:szCs w:val="20"/>
          <w:highlight w:val="none"/>
        </w:rPr>
      </w:pPr>
      <w:r>
        <w:rPr>
          <w:rFonts w:hint="eastAsia"/>
          <w:szCs w:val="20"/>
          <w:highlight w:val="none"/>
        </w:rPr>
        <w:t>2.1 合同价格</w:t>
      </w:r>
    </w:p>
    <w:p w14:paraId="6251F2DB">
      <w:pPr>
        <w:widowControl w:val="0"/>
        <w:spacing w:line="520" w:lineRule="exact"/>
        <w:ind w:firstLine="480" w:firstLineChars="200"/>
        <w:jc w:val="both"/>
        <w:rPr>
          <w:rFonts w:hint="eastAsia"/>
          <w:szCs w:val="20"/>
          <w:highlight w:val="none"/>
        </w:rPr>
      </w:pPr>
      <w:r>
        <w:rPr>
          <w:rFonts w:hint="eastAsia"/>
          <w:highlight w:val="none"/>
          <w:lang w:bidi="ar"/>
        </w:rPr>
        <w:t>本合同价格为</w:t>
      </w:r>
      <w:r>
        <w:rPr>
          <w:rFonts w:hint="eastAsia"/>
          <w:highlight w:val="none"/>
          <w:u w:val="single"/>
          <w:lang w:bidi="ar"/>
        </w:rPr>
        <w:t xml:space="preserve">        </w:t>
      </w:r>
      <w:r>
        <w:rPr>
          <w:rFonts w:hint="eastAsia"/>
          <w:highlight w:val="none"/>
          <w:lang w:bidi="ar"/>
        </w:rPr>
        <w:t>元整。</w:t>
      </w:r>
    </w:p>
    <w:p w14:paraId="7CDEA368">
      <w:pPr>
        <w:widowControl w:val="0"/>
        <w:spacing w:line="520" w:lineRule="exact"/>
        <w:ind w:firstLine="480" w:firstLineChars="200"/>
        <w:jc w:val="both"/>
        <w:rPr>
          <w:rFonts w:hint="eastAsia"/>
          <w:szCs w:val="20"/>
          <w:highlight w:val="none"/>
        </w:rPr>
      </w:pPr>
      <w:r>
        <w:rPr>
          <w:rFonts w:hint="eastAsia"/>
          <w:szCs w:val="20"/>
          <w:highlight w:val="none"/>
        </w:rPr>
        <w:t>2.2 服务地点：</w:t>
      </w:r>
      <w:r>
        <w:rPr>
          <w:rFonts w:hint="eastAsia"/>
          <w:szCs w:val="20"/>
          <w:highlight w:val="none"/>
          <w:u w:val="single"/>
        </w:rPr>
        <w:t xml:space="preserve">                   </w:t>
      </w:r>
    </w:p>
    <w:p w14:paraId="042FC38C">
      <w:pPr>
        <w:widowControl w:val="0"/>
        <w:spacing w:line="520" w:lineRule="exact"/>
        <w:ind w:firstLine="480" w:firstLineChars="200"/>
        <w:jc w:val="both"/>
        <w:rPr>
          <w:rFonts w:hint="eastAsia"/>
          <w:szCs w:val="20"/>
          <w:highlight w:val="none"/>
        </w:rPr>
      </w:pPr>
      <w:r>
        <w:rPr>
          <w:rFonts w:hint="eastAsia"/>
          <w:szCs w:val="20"/>
          <w:highlight w:val="none"/>
        </w:rPr>
        <w:t>2.3 服务期限</w:t>
      </w:r>
    </w:p>
    <w:p w14:paraId="376D8197">
      <w:pPr>
        <w:widowControl w:val="0"/>
        <w:spacing w:line="520" w:lineRule="exact"/>
        <w:ind w:firstLine="480" w:firstLineChars="200"/>
        <w:jc w:val="both"/>
        <w:rPr>
          <w:rFonts w:hint="eastAsia"/>
          <w:szCs w:val="20"/>
          <w:highlight w:val="none"/>
        </w:rPr>
      </w:pPr>
      <w:r>
        <w:rPr>
          <w:rFonts w:hint="eastAsia"/>
          <w:szCs w:val="20"/>
          <w:highlight w:val="none"/>
        </w:rPr>
        <w:t>本服务的服务期限：</w:t>
      </w:r>
      <w:r>
        <w:rPr>
          <w:rFonts w:hint="eastAsia"/>
          <w:szCs w:val="20"/>
          <w:highlight w:val="none"/>
          <w:u w:val="single"/>
          <w:lang w:eastAsia="zh-CN"/>
        </w:rPr>
        <w:t>合同签订后一年内提交最终成果</w:t>
      </w:r>
      <w:r>
        <w:rPr>
          <w:rFonts w:hint="eastAsia"/>
          <w:szCs w:val="20"/>
          <w:highlight w:val="none"/>
        </w:rPr>
        <w:t>。</w:t>
      </w:r>
    </w:p>
    <w:p w14:paraId="7F114C60">
      <w:pPr>
        <w:widowControl w:val="0"/>
        <w:spacing w:line="520" w:lineRule="exact"/>
        <w:ind w:firstLine="480" w:firstLineChars="200"/>
        <w:jc w:val="both"/>
        <w:rPr>
          <w:rFonts w:hint="eastAsia"/>
          <w:szCs w:val="20"/>
          <w:highlight w:val="none"/>
          <w:lang w:val="en"/>
        </w:rPr>
      </w:pPr>
      <w:r>
        <w:rPr>
          <w:rFonts w:hint="eastAsia"/>
          <w:szCs w:val="20"/>
          <w:highlight w:val="none"/>
          <w:lang w:val="en"/>
        </w:rPr>
        <w:t>3.质量标准和要求</w:t>
      </w:r>
    </w:p>
    <w:p w14:paraId="55AC0CDD">
      <w:pPr>
        <w:widowControl w:val="0"/>
        <w:spacing w:line="520" w:lineRule="exact"/>
        <w:ind w:firstLine="480" w:firstLineChars="200"/>
        <w:jc w:val="both"/>
        <w:rPr>
          <w:rFonts w:hint="eastAsia"/>
          <w:szCs w:val="20"/>
          <w:highlight w:val="none"/>
        </w:rPr>
      </w:pPr>
      <w:r>
        <w:rPr>
          <w:rFonts w:hint="eastAsia"/>
          <w:szCs w:val="20"/>
          <w:highlight w:val="none"/>
        </w:rPr>
        <w:t>3.1 乙方所提供的服务的质量标准按照国家标准、行业标准确定，上述标准不一致的，以严格的标准为准。没有国家标准、行业标准和企业标准的，按照通常标准或者符合合同目的的特定标准确定。</w:t>
      </w:r>
    </w:p>
    <w:p w14:paraId="44765C37">
      <w:pPr>
        <w:widowControl w:val="0"/>
        <w:spacing w:line="520" w:lineRule="exact"/>
        <w:ind w:firstLine="480" w:firstLineChars="200"/>
        <w:jc w:val="both"/>
        <w:rPr>
          <w:rFonts w:hint="eastAsia"/>
          <w:szCs w:val="20"/>
          <w:highlight w:val="none"/>
        </w:rPr>
      </w:pPr>
      <w:r>
        <w:rPr>
          <w:rFonts w:hint="eastAsia"/>
          <w:szCs w:val="20"/>
          <w:highlight w:val="none"/>
        </w:rPr>
        <w:t>3.2 乙方所交付的服务还应符合国家和上海市有关安全、环保、卫生之规定。</w:t>
      </w:r>
    </w:p>
    <w:p w14:paraId="0BBC9355">
      <w:pPr>
        <w:widowControl w:val="0"/>
        <w:spacing w:line="520" w:lineRule="exact"/>
        <w:ind w:firstLine="480" w:firstLineChars="200"/>
        <w:jc w:val="both"/>
        <w:rPr>
          <w:rFonts w:hint="eastAsia"/>
          <w:szCs w:val="20"/>
          <w:highlight w:val="none"/>
          <w:lang w:val="en"/>
        </w:rPr>
      </w:pPr>
      <w:r>
        <w:rPr>
          <w:rFonts w:hint="eastAsia"/>
          <w:szCs w:val="20"/>
          <w:highlight w:val="none"/>
          <w:lang w:val="en"/>
        </w:rPr>
        <w:t>4.权利瑕疵担保</w:t>
      </w:r>
    </w:p>
    <w:p w14:paraId="5C6CE630">
      <w:pPr>
        <w:widowControl w:val="0"/>
        <w:spacing w:line="520" w:lineRule="exact"/>
        <w:ind w:firstLine="480" w:firstLineChars="200"/>
        <w:jc w:val="both"/>
        <w:rPr>
          <w:rFonts w:hint="eastAsia"/>
          <w:szCs w:val="20"/>
          <w:highlight w:val="none"/>
        </w:rPr>
      </w:pPr>
      <w:r>
        <w:rPr>
          <w:rFonts w:hint="eastAsia"/>
          <w:szCs w:val="20"/>
          <w:highlight w:val="none"/>
        </w:rPr>
        <w:t>4.1 乙方保证对其交付的服务享有合法的权利。</w:t>
      </w:r>
    </w:p>
    <w:p w14:paraId="58C7B61F">
      <w:pPr>
        <w:widowControl w:val="0"/>
        <w:spacing w:line="520" w:lineRule="exact"/>
        <w:ind w:firstLine="480" w:firstLineChars="200"/>
        <w:jc w:val="both"/>
        <w:rPr>
          <w:rFonts w:hint="eastAsia"/>
          <w:szCs w:val="20"/>
          <w:highlight w:val="none"/>
        </w:rPr>
      </w:pPr>
      <w:r>
        <w:rPr>
          <w:rFonts w:hint="eastAsia"/>
          <w:szCs w:val="20"/>
          <w:highlight w:val="none"/>
        </w:rPr>
        <w:t>4.2 乙方保证在服务上不存在任何未曾向甲方透露的担保物权，如抵押权、质押权、留置权等。</w:t>
      </w:r>
    </w:p>
    <w:p w14:paraId="00A2B8AE">
      <w:pPr>
        <w:widowControl w:val="0"/>
        <w:spacing w:line="520" w:lineRule="exact"/>
        <w:ind w:firstLine="480" w:firstLineChars="200"/>
        <w:jc w:val="both"/>
        <w:rPr>
          <w:rFonts w:hint="eastAsia"/>
          <w:szCs w:val="20"/>
          <w:highlight w:val="none"/>
        </w:rPr>
      </w:pPr>
      <w:r>
        <w:rPr>
          <w:rFonts w:hint="eastAsia"/>
          <w:szCs w:val="20"/>
          <w:highlight w:val="none"/>
        </w:rPr>
        <w:t>4.3 乙方保证其所交付的服务没有侵犯任何第三人的知识产权和商业秘密等权利。</w:t>
      </w:r>
    </w:p>
    <w:p w14:paraId="7D939086">
      <w:pPr>
        <w:widowControl w:val="0"/>
        <w:spacing w:line="520" w:lineRule="exact"/>
        <w:ind w:firstLine="480" w:firstLineChars="200"/>
        <w:jc w:val="both"/>
        <w:rPr>
          <w:rFonts w:hint="eastAsia"/>
          <w:szCs w:val="20"/>
          <w:highlight w:val="none"/>
        </w:rPr>
      </w:pPr>
      <w:r>
        <w:rPr>
          <w:rFonts w:hint="eastAsia"/>
          <w:szCs w:val="20"/>
          <w:highlight w:val="none"/>
        </w:rPr>
        <w:t>4.4 如甲方使用该服务构成上述侵权的，则由乙方承担全部责任。</w:t>
      </w:r>
    </w:p>
    <w:p w14:paraId="211C500E">
      <w:pPr>
        <w:widowControl w:val="0"/>
        <w:spacing w:line="520" w:lineRule="exact"/>
        <w:ind w:firstLine="480" w:firstLineChars="200"/>
        <w:jc w:val="both"/>
        <w:rPr>
          <w:rFonts w:hint="eastAsia"/>
          <w:szCs w:val="20"/>
          <w:highlight w:val="none"/>
          <w:lang w:val="en"/>
        </w:rPr>
      </w:pPr>
      <w:r>
        <w:rPr>
          <w:rFonts w:hint="eastAsia"/>
          <w:szCs w:val="20"/>
          <w:highlight w:val="none"/>
          <w:lang w:val="en"/>
        </w:rPr>
        <w:t>5.验收</w:t>
      </w:r>
    </w:p>
    <w:p w14:paraId="5637F357">
      <w:pPr>
        <w:widowControl w:val="0"/>
        <w:spacing w:line="520" w:lineRule="exact"/>
        <w:ind w:firstLine="480" w:firstLineChars="200"/>
        <w:jc w:val="both"/>
        <w:rPr>
          <w:rFonts w:hint="eastAsia"/>
          <w:szCs w:val="20"/>
          <w:highlight w:val="none"/>
        </w:rPr>
      </w:pPr>
      <w:r>
        <w:rPr>
          <w:rFonts w:hint="eastAsia"/>
          <w:szCs w:val="20"/>
          <w:highlight w:val="none"/>
        </w:rPr>
        <w:t>5.1 验收方式：</w:t>
      </w:r>
    </w:p>
    <w:p w14:paraId="3B7F2AAB">
      <w:pPr>
        <w:widowControl w:val="0"/>
        <w:spacing w:line="520" w:lineRule="exact"/>
        <w:ind w:firstLine="480" w:firstLineChars="200"/>
        <w:jc w:val="both"/>
        <w:rPr>
          <w:rFonts w:hint="eastAsia"/>
          <w:szCs w:val="20"/>
          <w:highlight w:val="none"/>
        </w:rPr>
      </w:pPr>
      <w:r>
        <w:rPr>
          <w:szCs w:val="20"/>
          <w:highlight w:val="none"/>
        </w:rPr>
        <w:sym w:font="Wingdings 2" w:char="0052"/>
      </w:r>
      <w:r>
        <w:rPr>
          <w:rFonts w:hint="eastAsia"/>
          <w:szCs w:val="20"/>
          <w:highlight w:val="none"/>
        </w:rPr>
        <w:t>服务完成后一次性验收</w:t>
      </w:r>
    </w:p>
    <w:p w14:paraId="1894C8B3">
      <w:pPr>
        <w:widowControl w:val="0"/>
        <w:spacing w:line="520" w:lineRule="exact"/>
        <w:ind w:firstLine="480" w:firstLineChars="200"/>
        <w:jc w:val="both"/>
        <w:rPr>
          <w:rFonts w:hint="eastAsia"/>
          <w:szCs w:val="20"/>
          <w:highlight w:val="none"/>
        </w:rPr>
      </w:pPr>
      <w:r>
        <w:rPr>
          <w:szCs w:val="20"/>
          <w:highlight w:val="none"/>
        </w:rPr>
        <w:sym w:font="Wingdings 2" w:char="00A3"/>
      </w:r>
      <w:r>
        <w:rPr>
          <w:rFonts w:hint="eastAsia"/>
          <w:szCs w:val="20"/>
          <w:highlight w:val="none"/>
        </w:rPr>
        <w:t>分期验收</w:t>
      </w:r>
    </w:p>
    <w:p w14:paraId="1EE4480E">
      <w:pPr>
        <w:widowControl w:val="0"/>
        <w:spacing w:line="520" w:lineRule="exact"/>
        <w:ind w:firstLine="480" w:firstLineChars="200"/>
        <w:jc w:val="both"/>
        <w:rPr>
          <w:rFonts w:hint="eastAsia"/>
          <w:szCs w:val="20"/>
          <w:highlight w:val="none"/>
        </w:rPr>
      </w:pPr>
      <w:r>
        <w:rPr>
          <w:szCs w:val="20"/>
          <w:highlight w:val="none"/>
        </w:rPr>
        <w:sym w:font="Wingdings 2" w:char="00A3"/>
      </w:r>
      <w:r>
        <w:rPr>
          <w:rFonts w:hint="eastAsia"/>
          <w:szCs w:val="20"/>
          <w:highlight w:val="none"/>
        </w:rPr>
        <w:t>分段验收</w:t>
      </w:r>
    </w:p>
    <w:p w14:paraId="36AD1070">
      <w:pPr>
        <w:widowControl w:val="0"/>
        <w:spacing w:line="520" w:lineRule="exact"/>
        <w:ind w:firstLine="480" w:firstLineChars="200"/>
        <w:jc w:val="both"/>
        <w:rPr>
          <w:rFonts w:hint="eastAsia"/>
          <w:szCs w:val="20"/>
          <w:highlight w:val="none"/>
        </w:rPr>
      </w:pPr>
      <w:r>
        <w:rPr>
          <w:szCs w:val="20"/>
          <w:highlight w:val="none"/>
        </w:rPr>
        <w:sym w:font="Wingdings 2" w:char="00A3"/>
      </w:r>
      <w:r>
        <w:rPr>
          <w:rFonts w:hint="eastAsia"/>
          <w:szCs w:val="20"/>
          <w:highlight w:val="none"/>
        </w:rPr>
        <w:t>其它</w:t>
      </w:r>
    </w:p>
    <w:p w14:paraId="285C59E0">
      <w:pPr>
        <w:widowControl w:val="0"/>
        <w:spacing w:line="520" w:lineRule="exact"/>
        <w:ind w:firstLine="480" w:firstLineChars="200"/>
        <w:jc w:val="both"/>
        <w:rPr>
          <w:rFonts w:hint="eastAsia"/>
          <w:szCs w:val="20"/>
          <w:highlight w:val="none"/>
        </w:rPr>
      </w:pPr>
      <w:r>
        <w:rPr>
          <w:rFonts w:hint="eastAsia"/>
          <w:szCs w:val="20"/>
          <w:highlight w:val="none"/>
        </w:rPr>
        <w:t>5.2 验收标准（可另附验收办法或方案）：</w:t>
      </w:r>
    </w:p>
    <w:p w14:paraId="79F0C143">
      <w:pPr>
        <w:widowControl w:val="0"/>
        <w:spacing w:line="520" w:lineRule="exact"/>
        <w:ind w:firstLine="480" w:firstLineChars="200"/>
        <w:jc w:val="both"/>
        <w:rPr>
          <w:rFonts w:hint="eastAsia"/>
          <w:szCs w:val="20"/>
          <w:highlight w:val="none"/>
          <w:u w:val="single"/>
        </w:rPr>
      </w:pPr>
      <w:r>
        <w:rPr>
          <w:rFonts w:hint="eastAsia"/>
          <w:szCs w:val="20"/>
          <w:highlight w:val="none"/>
          <w:u w:val="single"/>
        </w:rPr>
        <w:t>/</w:t>
      </w:r>
    </w:p>
    <w:p w14:paraId="24330DD8">
      <w:pPr>
        <w:widowControl w:val="0"/>
        <w:spacing w:line="520" w:lineRule="exact"/>
        <w:ind w:firstLine="480" w:firstLineChars="200"/>
        <w:jc w:val="both"/>
        <w:rPr>
          <w:rFonts w:hint="eastAsia"/>
          <w:szCs w:val="20"/>
          <w:highlight w:val="none"/>
        </w:rPr>
      </w:pPr>
      <w:r>
        <w:rPr>
          <w:rFonts w:hint="eastAsia"/>
          <w:szCs w:val="20"/>
          <w:highlight w:val="none"/>
        </w:rPr>
        <w:t>5.3 服务完成或达到合同约定的验收条件后，甲方应及时根据合同的约定进行验收。乙方应当以书面形式向甲方递交验收通知书，甲方在收到验收通知书后的10个工作日内，确定具体日期，由双方按照本合同的约定完成服务验收。</w:t>
      </w:r>
    </w:p>
    <w:p w14:paraId="55A6DD87">
      <w:pPr>
        <w:widowControl w:val="0"/>
        <w:spacing w:line="520" w:lineRule="exact"/>
        <w:ind w:firstLine="480" w:firstLineChars="200"/>
        <w:jc w:val="both"/>
        <w:rPr>
          <w:rFonts w:hint="eastAsia"/>
          <w:szCs w:val="20"/>
          <w:highlight w:val="none"/>
        </w:rPr>
      </w:pPr>
      <w:r>
        <w:rPr>
          <w:rFonts w:hint="eastAsia"/>
          <w:szCs w:val="20"/>
          <w:highlight w:val="none"/>
        </w:rPr>
        <w:t>5.4 如果属于乙方原因致使未能通过验收，乙方应当排除问题，并自行承担相关费用，直至服务完全符合验收标准。</w:t>
      </w:r>
    </w:p>
    <w:p w14:paraId="7D8D5782">
      <w:pPr>
        <w:widowControl w:val="0"/>
        <w:spacing w:line="520" w:lineRule="exact"/>
        <w:ind w:firstLine="480" w:firstLineChars="200"/>
        <w:jc w:val="both"/>
        <w:rPr>
          <w:rFonts w:hint="eastAsia"/>
          <w:szCs w:val="20"/>
          <w:highlight w:val="none"/>
        </w:rPr>
      </w:pPr>
      <w:r>
        <w:rPr>
          <w:rFonts w:hint="eastAsia"/>
          <w:szCs w:val="20"/>
          <w:highlight w:val="none"/>
        </w:rPr>
        <w:t>5.5 如果属于甲方原因致使未能通过验收，甲方应在合理时间内排除问题，再次进行验收。如果属于故障之外的原因，除本合同规定的不可抗力外，甲方不愿或未能在规定的时间内完成验收，则由乙方单方面进行验收，并将验收报告提交甲方，即视为验收通过。</w:t>
      </w:r>
    </w:p>
    <w:p w14:paraId="326323C4">
      <w:pPr>
        <w:widowControl w:val="0"/>
        <w:spacing w:line="520" w:lineRule="exact"/>
        <w:ind w:firstLine="480" w:firstLineChars="200"/>
        <w:jc w:val="both"/>
        <w:rPr>
          <w:rFonts w:hint="eastAsia"/>
          <w:szCs w:val="20"/>
          <w:highlight w:val="none"/>
        </w:rPr>
      </w:pPr>
      <w:r>
        <w:rPr>
          <w:rFonts w:hint="eastAsia"/>
          <w:szCs w:val="20"/>
          <w:highlight w:val="none"/>
        </w:rPr>
        <w:t>5.6 甲方根据合同的规定对服务验收合格后，甲方收取发票并签署验收意见。</w:t>
      </w:r>
    </w:p>
    <w:p w14:paraId="205FF4B1">
      <w:pPr>
        <w:widowControl w:val="0"/>
        <w:spacing w:line="520" w:lineRule="exact"/>
        <w:ind w:firstLine="480" w:firstLineChars="200"/>
        <w:jc w:val="both"/>
        <w:rPr>
          <w:rFonts w:hint="eastAsia"/>
          <w:szCs w:val="20"/>
          <w:highlight w:val="none"/>
          <w:lang w:val="en"/>
        </w:rPr>
      </w:pPr>
      <w:r>
        <w:rPr>
          <w:rFonts w:hint="eastAsia"/>
          <w:szCs w:val="20"/>
          <w:highlight w:val="none"/>
          <w:lang w:val="en"/>
        </w:rPr>
        <w:t>6.保密</w:t>
      </w:r>
    </w:p>
    <w:p w14:paraId="1C3ADFA7">
      <w:pPr>
        <w:widowControl w:val="0"/>
        <w:spacing w:line="520" w:lineRule="exact"/>
        <w:ind w:firstLine="480" w:firstLineChars="200"/>
        <w:jc w:val="both"/>
        <w:rPr>
          <w:rFonts w:hint="eastAsia"/>
          <w:szCs w:val="20"/>
          <w:highlight w:val="none"/>
        </w:rPr>
      </w:pPr>
      <w:r>
        <w:rPr>
          <w:rFonts w:hint="eastAsia"/>
          <w:szCs w:val="20"/>
          <w:highlight w:val="none"/>
        </w:rPr>
        <w:t>6.1 如果甲方或乙方提供的内容属于保密的，应签订保密协议，甲乙双方均有保密义务。</w:t>
      </w:r>
    </w:p>
    <w:p w14:paraId="19A2C9BC">
      <w:pPr>
        <w:widowControl w:val="0"/>
        <w:spacing w:line="520" w:lineRule="exact"/>
        <w:ind w:firstLine="480" w:firstLineChars="200"/>
        <w:jc w:val="both"/>
        <w:rPr>
          <w:rFonts w:hint="eastAsia"/>
          <w:szCs w:val="20"/>
          <w:highlight w:val="none"/>
          <w:lang w:val="en"/>
        </w:rPr>
      </w:pPr>
      <w:r>
        <w:rPr>
          <w:rFonts w:hint="eastAsia"/>
          <w:szCs w:val="20"/>
          <w:highlight w:val="none"/>
          <w:lang w:val="en"/>
        </w:rPr>
        <w:t>7.付款</w:t>
      </w:r>
    </w:p>
    <w:p w14:paraId="1521F064">
      <w:pPr>
        <w:widowControl w:val="0"/>
        <w:spacing w:line="520" w:lineRule="exact"/>
        <w:ind w:firstLine="480" w:firstLineChars="200"/>
        <w:jc w:val="both"/>
        <w:rPr>
          <w:rFonts w:hint="eastAsia"/>
          <w:szCs w:val="20"/>
          <w:highlight w:val="none"/>
        </w:rPr>
      </w:pPr>
      <w:r>
        <w:rPr>
          <w:rFonts w:hint="eastAsia"/>
          <w:szCs w:val="20"/>
          <w:highlight w:val="none"/>
        </w:rPr>
        <w:t>7.1 本合同以人民币付款（单位：元）。</w:t>
      </w:r>
    </w:p>
    <w:p w14:paraId="520FDD8E">
      <w:pPr>
        <w:widowControl w:val="0"/>
        <w:spacing w:line="520" w:lineRule="exact"/>
        <w:ind w:firstLine="480" w:firstLineChars="200"/>
        <w:jc w:val="both"/>
        <w:rPr>
          <w:rFonts w:hint="eastAsia"/>
          <w:szCs w:val="20"/>
          <w:highlight w:val="none"/>
        </w:rPr>
      </w:pPr>
      <w:r>
        <w:rPr>
          <w:rFonts w:hint="eastAsia"/>
          <w:szCs w:val="20"/>
          <w:highlight w:val="none"/>
        </w:rPr>
        <w:t>7.2 本合同款项按照以下方式支付：</w:t>
      </w:r>
    </w:p>
    <w:p w14:paraId="45B37763">
      <w:pPr>
        <w:pStyle w:val="21"/>
        <w:widowControl w:val="0"/>
        <w:adjustRightInd w:val="0"/>
        <w:spacing w:line="520" w:lineRule="exact"/>
        <w:ind w:firstLine="480" w:firstLineChars="200"/>
        <w:jc w:val="both"/>
        <w:textAlignment w:val="baseline"/>
        <w:rPr>
          <w:rFonts w:hint="eastAsia" w:eastAsia="宋体"/>
          <w:szCs w:val="24"/>
          <w:highlight w:val="none"/>
          <w:u w:val="single"/>
          <w:lang w:eastAsia="zh-CN" w:bidi="ar"/>
        </w:rPr>
      </w:pPr>
      <w:r>
        <w:rPr>
          <w:rFonts w:hint="eastAsia"/>
          <w:szCs w:val="24"/>
          <w:highlight w:val="none"/>
          <w:u w:val="single"/>
          <w:lang w:eastAsia="zh-CN" w:bidi="ar"/>
        </w:rPr>
        <w:t>合同签订、乙方提交初步方案后甲方支付合同金额的40%；乙方提交最终成果并通过甲方验收后，甲方支付剩余服务费用</w:t>
      </w:r>
    </w:p>
    <w:p w14:paraId="10F7F2E6">
      <w:pPr>
        <w:pStyle w:val="21"/>
        <w:widowControl w:val="0"/>
        <w:adjustRightInd w:val="0"/>
        <w:spacing w:line="520" w:lineRule="exact"/>
        <w:ind w:firstLine="480" w:firstLineChars="200"/>
        <w:jc w:val="both"/>
        <w:textAlignment w:val="baseline"/>
        <w:rPr>
          <w:rFonts w:hint="eastAsia"/>
          <w:highlight w:val="none"/>
        </w:rPr>
      </w:pPr>
      <w:r>
        <w:rPr>
          <w:highlight w:val="none"/>
          <w:lang w:val="en"/>
        </w:rPr>
        <w:t>7.3</w:t>
      </w:r>
      <w:r>
        <w:rPr>
          <w:rFonts w:hint="eastAsia"/>
          <w:highlight w:val="none"/>
        </w:rPr>
        <w:t xml:space="preserve"> </w:t>
      </w:r>
      <w:r>
        <w:rPr>
          <w:rFonts w:hint="eastAsia"/>
          <w:highlight w:val="none"/>
          <w:lang w:val="en"/>
        </w:rPr>
        <w:t>除预付款之外的款项均需在当期服务验收通过后才能予以支付，支付时间一般不超过</w:t>
      </w:r>
      <w:r>
        <w:rPr>
          <w:rFonts w:hint="eastAsia"/>
          <w:highlight w:val="none"/>
        </w:rPr>
        <w:t>10个工作日，预付款应在合同签订日后的10个工作日内支付。</w:t>
      </w:r>
    </w:p>
    <w:p w14:paraId="132E248B">
      <w:pPr>
        <w:widowControl w:val="0"/>
        <w:spacing w:line="520" w:lineRule="exact"/>
        <w:ind w:firstLine="480" w:firstLineChars="200"/>
        <w:jc w:val="both"/>
        <w:rPr>
          <w:rFonts w:hint="eastAsia"/>
          <w:szCs w:val="20"/>
          <w:highlight w:val="none"/>
          <w:lang w:val="en"/>
        </w:rPr>
      </w:pPr>
      <w:r>
        <w:rPr>
          <w:rFonts w:hint="eastAsia"/>
          <w:szCs w:val="20"/>
          <w:highlight w:val="none"/>
          <w:lang w:val="en"/>
        </w:rPr>
        <w:t>8.甲方的权利义务</w:t>
      </w:r>
    </w:p>
    <w:p w14:paraId="6C3CAACE">
      <w:pPr>
        <w:widowControl w:val="0"/>
        <w:spacing w:line="520" w:lineRule="exact"/>
        <w:ind w:firstLine="480" w:firstLineChars="200"/>
        <w:jc w:val="both"/>
        <w:rPr>
          <w:rFonts w:hint="eastAsia"/>
          <w:szCs w:val="20"/>
          <w:highlight w:val="none"/>
        </w:rPr>
      </w:pPr>
      <w:r>
        <w:rPr>
          <w:rFonts w:hint="eastAsia"/>
          <w:szCs w:val="20"/>
          <w:highlight w:val="none"/>
        </w:rPr>
        <w:t>8.1 甲方有权在合同规定的范围内享受服务，对没有达到合同规定的服务质量或标准的服务事项，甲方有权要求乙方在规定的时间内加急提供服务，直至符合要求为止。</w:t>
      </w:r>
    </w:p>
    <w:p w14:paraId="6E719785">
      <w:pPr>
        <w:widowControl w:val="0"/>
        <w:spacing w:line="520" w:lineRule="exact"/>
        <w:ind w:firstLine="480" w:firstLineChars="200"/>
        <w:jc w:val="both"/>
        <w:rPr>
          <w:rFonts w:hint="eastAsia"/>
          <w:szCs w:val="20"/>
          <w:highlight w:val="none"/>
        </w:rPr>
      </w:pPr>
      <w:r>
        <w:rPr>
          <w:rFonts w:hint="eastAsia"/>
          <w:szCs w:val="20"/>
          <w:highlight w:val="none"/>
        </w:rPr>
        <w:t>8.2 如果乙方无法完成合同规定的服务内容、或者服务无法达到合同规定的服务质量或标准的，造成的无法正常运行，甲方有权邀请第三方提供服务，其支付的服务费用由乙方承担；如果乙方不支付，甲方有权在支付乙方合同款项时扣除其相等的金额。</w:t>
      </w:r>
    </w:p>
    <w:p w14:paraId="16CEBEBB">
      <w:pPr>
        <w:widowControl w:val="0"/>
        <w:spacing w:line="520" w:lineRule="exact"/>
        <w:ind w:firstLine="480" w:firstLineChars="200"/>
        <w:jc w:val="both"/>
        <w:rPr>
          <w:rFonts w:hint="eastAsia"/>
          <w:szCs w:val="20"/>
          <w:highlight w:val="none"/>
        </w:rPr>
      </w:pPr>
      <w:r>
        <w:rPr>
          <w:rFonts w:hint="eastAsia"/>
          <w:szCs w:val="20"/>
          <w:highlight w:val="none"/>
        </w:rPr>
        <w:t>8.3 由于乙方服务质量或延误服务的原因，使甲方有关或设备损坏造成经济损失的，甲方有权要求乙方进行经济赔偿。</w:t>
      </w:r>
    </w:p>
    <w:p w14:paraId="1477D7B0">
      <w:pPr>
        <w:widowControl w:val="0"/>
        <w:spacing w:line="520" w:lineRule="exact"/>
        <w:ind w:firstLine="480" w:firstLineChars="200"/>
        <w:jc w:val="both"/>
        <w:rPr>
          <w:rFonts w:hint="eastAsia"/>
          <w:szCs w:val="20"/>
          <w:highlight w:val="none"/>
        </w:rPr>
      </w:pPr>
      <w:r>
        <w:rPr>
          <w:rFonts w:hint="eastAsia"/>
          <w:szCs w:val="20"/>
          <w:highlight w:val="none"/>
        </w:rPr>
        <w:t>8.4 甲方在合同规定的服务期限内有义务为乙方创造服务工作便利，并提供适合的工作环境，协助乙方完成服务工作。</w:t>
      </w:r>
    </w:p>
    <w:p w14:paraId="549A46EA">
      <w:pPr>
        <w:widowControl w:val="0"/>
        <w:spacing w:line="520" w:lineRule="exact"/>
        <w:ind w:firstLine="480" w:firstLineChars="200"/>
        <w:jc w:val="both"/>
        <w:rPr>
          <w:rFonts w:hint="eastAsia"/>
          <w:szCs w:val="20"/>
          <w:highlight w:val="none"/>
        </w:rPr>
      </w:pPr>
      <w:r>
        <w:rPr>
          <w:rFonts w:hint="eastAsia"/>
          <w:szCs w:val="20"/>
          <w:highlight w:val="none"/>
        </w:rPr>
        <w:t>8.5 如果甲方因工作需要对原有服务内容进行调整，应有义务并通过有效的方式及时通知乙方，涉及合同服务范围调整的，应与乙方协商解决。</w:t>
      </w:r>
    </w:p>
    <w:p w14:paraId="3D9F5FE4">
      <w:pPr>
        <w:pStyle w:val="21"/>
        <w:widowControl w:val="0"/>
        <w:adjustRightInd w:val="0"/>
        <w:ind w:firstLine="480" w:firstLineChars="200"/>
        <w:jc w:val="both"/>
        <w:textAlignment w:val="baseline"/>
        <w:rPr>
          <w:rFonts w:hint="eastAsia"/>
          <w:highlight w:val="none"/>
        </w:rPr>
      </w:pPr>
      <w:r>
        <w:rPr>
          <w:rFonts w:hint="eastAsia"/>
          <w:highlight w:val="none"/>
        </w:rPr>
        <w:t>8.6 服务期限超过一年的合同，如对乙方年度服务验收考核不合格的，甲方有权提前终止合同，相关损失由乙方承担。</w:t>
      </w:r>
    </w:p>
    <w:p w14:paraId="262E8259">
      <w:pPr>
        <w:widowControl w:val="0"/>
        <w:spacing w:line="520" w:lineRule="exact"/>
        <w:ind w:firstLine="480" w:firstLineChars="200"/>
        <w:jc w:val="both"/>
        <w:rPr>
          <w:rFonts w:hint="eastAsia"/>
          <w:szCs w:val="20"/>
          <w:highlight w:val="none"/>
          <w:lang w:val="en"/>
        </w:rPr>
      </w:pPr>
      <w:r>
        <w:rPr>
          <w:rFonts w:hint="eastAsia"/>
          <w:szCs w:val="20"/>
          <w:highlight w:val="none"/>
          <w:lang w:val="en"/>
        </w:rPr>
        <w:t>9.乙方的权利与义务</w:t>
      </w:r>
    </w:p>
    <w:p w14:paraId="614B65F9">
      <w:pPr>
        <w:widowControl w:val="0"/>
        <w:spacing w:line="520" w:lineRule="exact"/>
        <w:ind w:firstLine="480" w:firstLineChars="200"/>
        <w:jc w:val="both"/>
        <w:rPr>
          <w:rFonts w:hint="eastAsia"/>
          <w:szCs w:val="20"/>
          <w:highlight w:val="none"/>
        </w:rPr>
      </w:pPr>
      <w:r>
        <w:rPr>
          <w:rFonts w:hint="eastAsia"/>
          <w:szCs w:val="20"/>
          <w:highlight w:val="none"/>
        </w:rPr>
        <w:t>9.1 乙方根据合同的服务内容和要求及时提供相应的服务，如果甲方在合同服务范围外增加或扩大服务内容的，乙方有权要求甲方支付其相应的费用。</w:t>
      </w:r>
    </w:p>
    <w:p w14:paraId="2493F2E7">
      <w:pPr>
        <w:widowControl w:val="0"/>
        <w:spacing w:line="520" w:lineRule="exact"/>
        <w:ind w:firstLine="480" w:firstLineChars="200"/>
        <w:jc w:val="both"/>
        <w:rPr>
          <w:rFonts w:hint="eastAsia"/>
          <w:szCs w:val="20"/>
          <w:highlight w:val="none"/>
        </w:rPr>
      </w:pPr>
      <w:r>
        <w:rPr>
          <w:rFonts w:hint="eastAsia"/>
          <w:szCs w:val="20"/>
          <w:highlight w:val="none"/>
        </w:rPr>
        <w:t>9.2 乙方为了更好地进行服务，满足甲方对服务质量的要求，有权利要求甲方提供合适的工作环境和便利。在进行故障处理紧急服务时，可以要求甲方进行合作配合。</w:t>
      </w:r>
    </w:p>
    <w:p w14:paraId="5ADA3B8B">
      <w:pPr>
        <w:widowControl w:val="0"/>
        <w:spacing w:line="520" w:lineRule="exact"/>
        <w:ind w:firstLine="480" w:firstLineChars="200"/>
        <w:jc w:val="both"/>
        <w:rPr>
          <w:rFonts w:hint="eastAsia"/>
          <w:szCs w:val="20"/>
          <w:highlight w:val="none"/>
        </w:rPr>
      </w:pPr>
      <w:r>
        <w:rPr>
          <w:rFonts w:hint="eastAsia"/>
          <w:szCs w:val="20"/>
          <w:highlight w:val="none"/>
        </w:rPr>
        <w:t>9.3 如果由于甲方的责任而造成服务延误或不能达到服务质量的，乙方不承担违约责任。</w:t>
      </w:r>
    </w:p>
    <w:p w14:paraId="012B231C">
      <w:pPr>
        <w:widowControl w:val="0"/>
        <w:spacing w:line="520" w:lineRule="exact"/>
        <w:ind w:firstLine="480" w:firstLineChars="200"/>
        <w:jc w:val="both"/>
        <w:rPr>
          <w:rFonts w:hint="eastAsia"/>
          <w:szCs w:val="20"/>
          <w:highlight w:val="none"/>
        </w:rPr>
      </w:pPr>
      <w:r>
        <w:rPr>
          <w:rFonts w:hint="eastAsia"/>
          <w:szCs w:val="20"/>
          <w:highlight w:val="none"/>
        </w:rPr>
        <w:t>9.4 乙方保证在服务中，未经甲方许可不得使用含有可以自动终止或妨碍系统运作的软件和硬件，否则，乙方应承担赔偿责任。</w:t>
      </w:r>
    </w:p>
    <w:p w14:paraId="6EEE93F4">
      <w:pPr>
        <w:widowControl w:val="0"/>
        <w:spacing w:line="520" w:lineRule="exact"/>
        <w:ind w:firstLine="480" w:firstLineChars="200"/>
        <w:jc w:val="both"/>
        <w:rPr>
          <w:rFonts w:hint="eastAsia"/>
          <w:szCs w:val="20"/>
          <w:highlight w:val="none"/>
        </w:rPr>
      </w:pPr>
      <w:r>
        <w:rPr>
          <w:rFonts w:hint="eastAsia"/>
          <w:szCs w:val="20"/>
          <w:highlight w:val="none"/>
        </w:rPr>
        <w:t>9.5 乙方在履行服务时，发现存在潜在缺陷或故障时，有义务及时与甲方联系，共同落实防范措施，保证正常运行。</w:t>
      </w:r>
    </w:p>
    <w:p w14:paraId="51AEECFB">
      <w:pPr>
        <w:widowControl w:val="0"/>
        <w:spacing w:line="520" w:lineRule="exact"/>
        <w:ind w:firstLine="480" w:firstLineChars="200"/>
        <w:jc w:val="both"/>
        <w:rPr>
          <w:rFonts w:hint="eastAsia"/>
          <w:szCs w:val="20"/>
          <w:highlight w:val="none"/>
        </w:rPr>
      </w:pPr>
      <w:r>
        <w:rPr>
          <w:rFonts w:hint="eastAsia"/>
          <w:szCs w:val="20"/>
          <w:highlight w:val="none"/>
        </w:rPr>
        <w:t>9.6 如果乙方确实需要第三方合作才能完成合同规定的服务内容和服务质量的，应事先征得甲方的同意，并由乙方承担第三方提供服务的费用。</w:t>
      </w:r>
    </w:p>
    <w:p w14:paraId="3EC6296F">
      <w:pPr>
        <w:widowControl w:val="0"/>
        <w:spacing w:line="520" w:lineRule="exact"/>
        <w:ind w:firstLine="480" w:firstLineChars="200"/>
        <w:jc w:val="both"/>
        <w:rPr>
          <w:rFonts w:hint="eastAsia"/>
          <w:szCs w:val="20"/>
          <w:highlight w:val="none"/>
          <w:lang w:val="en"/>
        </w:rPr>
      </w:pPr>
      <w:r>
        <w:rPr>
          <w:rFonts w:hint="eastAsia"/>
          <w:szCs w:val="20"/>
          <w:highlight w:val="none"/>
          <w:lang w:val="en"/>
        </w:rPr>
        <w:t>10.补救措施和索赔</w:t>
      </w:r>
    </w:p>
    <w:p w14:paraId="53304F68">
      <w:pPr>
        <w:widowControl w:val="0"/>
        <w:spacing w:line="520" w:lineRule="exact"/>
        <w:ind w:firstLine="480" w:firstLineChars="200"/>
        <w:jc w:val="both"/>
        <w:rPr>
          <w:rFonts w:hint="eastAsia"/>
          <w:szCs w:val="20"/>
          <w:highlight w:val="none"/>
        </w:rPr>
      </w:pPr>
      <w:r>
        <w:rPr>
          <w:rFonts w:hint="eastAsia"/>
          <w:szCs w:val="20"/>
          <w:highlight w:val="none"/>
        </w:rPr>
        <w:t>10.1 甲方有权根据质量检测部门出具的检验证书向乙方提出索赔。</w:t>
      </w:r>
    </w:p>
    <w:p w14:paraId="7F631894">
      <w:pPr>
        <w:widowControl w:val="0"/>
        <w:spacing w:line="520" w:lineRule="exact"/>
        <w:ind w:firstLine="480" w:firstLineChars="200"/>
        <w:jc w:val="both"/>
        <w:rPr>
          <w:rFonts w:hint="eastAsia"/>
          <w:szCs w:val="20"/>
          <w:highlight w:val="none"/>
        </w:rPr>
      </w:pPr>
      <w:r>
        <w:rPr>
          <w:rFonts w:hint="eastAsia"/>
          <w:szCs w:val="20"/>
          <w:highlight w:val="none"/>
        </w:rPr>
        <w:t>10.2 在服务期限内，如果乙方对提供服务的缺陷负有责任而甲方提出索赔，乙方应按照甲方同意的下列一种或多种方式解决索赔事宜：</w:t>
      </w:r>
    </w:p>
    <w:p w14:paraId="17B2D0C4">
      <w:pPr>
        <w:widowControl w:val="0"/>
        <w:spacing w:line="520" w:lineRule="exact"/>
        <w:ind w:firstLine="480" w:firstLineChars="200"/>
        <w:jc w:val="both"/>
        <w:rPr>
          <w:rFonts w:hint="eastAsia"/>
          <w:szCs w:val="20"/>
          <w:highlight w:val="none"/>
        </w:rPr>
      </w:pPr>
      <w:r>
        <w:rPr>
          <w:rFonts w:hint="eastAsia"/>
          <w:szCs w:val="20"/>
          <w:highlight w:val="none"/>
        </w:rPr>
        <w:t>（1）根据服务的质量状况以及甲方所遭受的损失，经过甲乙双方商定降低服务的价格。</w:t>
      </w:r>
    </w:p>
    <w:p w14:paraId="41FFB15D">
      <w:pPr>
        <w:widowControl w:val="0"/>
        <w:spacing w:line="520" w:lineRule="exact"/>
        <w:ind w:firstLine="480" w:firstLineChars="200"/>
        <w:jc w:val="both"/>
        <w:rPr>
          <w:rFonts w:hint="eastAsia"/>
          <w:szCs w:val="20"/>
          <w:highlight w:val="none"/>
        </w:rPr>
      </w:pPr>
      <w:r>
        <w:rPr>
          <w:rFonts w:hint="eastAsia"/>
          <w:szCs w:val="20"/>
          <w:highlight w:val="none"/>
        </w:rPr>
        <w:t>（2）如果在甲方发出索赔通知后十天内乙方未作答复，上述索赔应视为已被乙方接受。如果乙方未能在甲方发出索赔通知后十天内或甲方同意延长的期限内，按照上述规定的任何一种方法采取补救措施，甲方有权从应付的合同款项中扣除索赔金额，如不足以弥补甲方损失的，甲方有权进一步要求乙方赔偿。</w:t>
      </w:r>
    </w:p>
    <w:p w14:paraId="0944258A">
      <w:pPr>
        <w:widowControl w:val="0"/>
        <w:spacing w:line="520" w:lineRule="exact"/>
        <w:ind w:firstLine="480" w:firstLineChars="200"/>
        <w:jc w:val="both"/>
        <w:rPr>
          <w:rFonts w:hint="eastAsia"/>
          <w:szCs w:val="20"/>
          <w:highlight w:val="none"/>
          <w:lang w:val="en"/>
        </w:rPr>
      </w:pPr>
      <w:r>
        <w:rPr>
          <w:rFonts w:hint="eastAsia"/>
          <w:szCs w:val="20"/>
          <w:highlight w:val="none"/>
          <w:lang w:val="en"/>
        </w:rPr>
        <w:t>11.履约延误</w:t>
      </w:r>
    </w:p>
    <w:p w14:paraId="1660D010">
      <w:pPr>
        <w:widowControl w:val="0"/>
        <w:spacing w:line="520" w:lineRule="exact"/>
        <w:ind w:firstLine="480" w:firstLineChars="200"/>
        <w:jc w:val="both"/>
        <w:rPr>
          <w:rFonts w:hint="eastAsia"/>
          <w:szCs w:val="20"/>
          <w:highlight w:val="none"/>
        </w:rPr>
      </w:pPr>
      <w:r>
        <w:rPr>
          <w:rFonts w:hint="eastAsia"/>
          <w:szCs w:val="20"/>
          <w:highlight w:val="none"/>
        </w:rPr>
        <w:t>11.1 乙方应按照合同规定的时间、地点提供服务。</w:t>
      </w:r>
    </w:p>
    <w:p w14:paraId="1B1AC0BE">
      <w:pPr>
        <w:widowControl w:val="0"/>
        <w:spacing w:line="520" w:lineRule="exact"/>
        <w:ind w:firstLine="480" w:firstLineChars="200"/>
        <w:jc w:val="both"/>
        <w:rPr>
          <w:rFonts w:hint="eastAsia"/>
          <w:szCs w:val="20"/>
          <w:highlight w:val="none"/>
        </w:rPr>
      </w:pPr>
      <w:r>
        <w:rPr>
          <w:rFonts w:hint="eastAsia"/>
          <w:szCs w:val="20"/>
          <w:highlight w:val="none"/>
        </w:rPr>
        <w:t>11.2 如乙方无正当理由而拖延服务，甲方有权解除合同并追究乙方的违约责任。</w:t>
      </w:r>
    </w:p>
    <w:p w14:paraId="6C610513">
      <w:pPr>
        <w:widowControl w:val="0"/>
        <w:spacing w:line="520" w:lineRule="exact"/>
        <w:ind w:firstLine="480" w:firstLineChars="200"/>
        <w:jc w:val="both"/>
        <w:rPr>
          <w:rFonts w:hint="eastAsia"/>
          <w:szCs w:val="20"/>
          <w:highlight w:val="none"/>
        </w:rPr>
      </w:pPr>
      <w:r>
        <w:rPr>
          <w:rFonts w:hint="eastAsia"/>
          <w:szCs w:val="20"/>
          <w:highlight w:val="none"/>
        </w:rPr>
        <w:t>11.3 在履行合同过程中，如果乙方可能遇到妨碍按时提供服务的情况时，应及时以书面形式将拖延的事实、可能拖延的期限和理由通知甲方。甲方在收到乙方通知后，应尽快对情况进行评价，并确定是否同意延期提供服务。</w:t>
      </w:r>
    </w:p>
    <w:p w14:paraId="610C91C0">
      <w:pPr>
        <w:widowControl w:val="0"/>
        <w:spacing w:line="520" w:lineRule="exact"/>
        <w:ind w:firstLine="480" w:firstLineChars="200"/>
        <w:jc w:val="both"/>
        <w:rPr>
          <w:rFonts w:hint="eastAsia"/>
          <w:szCs w:val="20"/>
          <w:highlight w:val="none"/>
          <w:lang w:val="en"/>
        </w:rPr>
      </w:pPr>
      <w:r>
        <w:rPr>
          <w:rFonts w:hint="eastAsia"/>
          <w:szCs w:val="20"/>
          <w:highlight w:val="none"/>
          <w:lang w:val="en"/>
        </w:rPr>
        <w:t>12.误期赔偿</w:t>
      </w:r>
    </w:p>
    <w:p w14:paraId="3A4069A9">
      <w:pPr>
        <w:widowControl w:val="0"/>
        <w:spacing w:line="520" w:lineRule="exact"/>
        <w:ind w:firstLine="480" w:firstLineChars="200"/>
        <w:jc w:val="both"/>
        <w:rPr>
          <w:rFonts w:hint="eastAsia"/>
          <w:szCs w:val="20"/>
          <w:highlight w:val="none"/>
        </w:rPr>
      </w:pPr>
      <w:r>
        <w:rPr>
          <w:rFonts w:hint="eastAsia"/>
          <w:szCs w:val="20"/>
          <w:highlight w:val="none"/>
        </w:rPr>
        <w:t>12.1 除合同第13条规定外，如果乙方没有按照合同规定的时间提供服务，甲方可以应付的合同款项中扣除误期赔偿费而不影响合同项下的其他补救方法，赔偿费按每（天）赔偿延期服务的服务费用的百分之零点五（0.5%）计收，直至提供服务为止。但误期赔偿费的最高限额不超过合同价的百分之五（5%）。（一周按七天计算，不足七天按一周计算。）一旦达到误期赔偿的最高限额，甲方可考虑终止合同。</w:t>
      </w:r>
    </w:p>
    <w:p w14:paraId="54225C59">
      <w:pPr>
        <w:widowControl w:val="0"/>
        <w:spacing w:line="520" w:lineRule="exact"/>
        <w:ind w:firstLine="480" w:firstLineChars="200"/>
        <w:jc w:val="both"/>
        <w:rPr>
          <w:rFonts w:hint="eastAsia"/>
          <w:szCs w:val="20"/>
          <w:highlight w:val="none"/>
          <w:lang w:val="en"/>
        </w:rPr>
      </w:pPr>
      <w:r>
        <w:rPr>
          <w:rFonts w:hint="eastAsia"/>
          <w:szCs w:val="20"/>
          <w:highlight w:val="none"/>
          <w:lang w:val="en"/>
        </w:rPr>
        <w:t>13.不可抗力</w:t>
      </w:r>
    </w:p>
    <w:p w14:paraId="453DA802">
      <w:pPr>
        <w:widowControl w:val="0"/>
        <w:spacing w:line="520" w:lineRule="exact"/>
        <w:ind w:firstLine="480" w:firstLineChars="200"/>
        <w:jc w:val="both"/>
        <w:rPr>
          <w:rFonts w:hint="eastAsia"/>
          <w:szCs w:val="20"/>
          <w:highlight w:val="none"/>
        </w:rPr>
      </w:pPr>
      <w:r>
        <w:rPr>
          <w:rFonts w:hint="eastAsia"/>
          <w:szCs w:val="20"/>
          <w:highlight w:val="none"/>
        </w:rPr>
        <w:t>13.1 如果合同各方因不可抗力而导致合同实施延误或不能履行合同义务的话，不应该承担误期赔偿或不能履行合同义务的责任。</w:t>
      </w:r>
    </w:p>
    <w:p w14:paraId="69634138">
      <w:pPr>
        <w:widowControl w:val="0"/>
        <w:spacing w:line="520" w:lineRule="exact"/>
        <w:ind w:firstLine="480" w:firstLineChars="200"/>
        <w:jc w:val="both"/>
        <w:rPr>
          <w:rFonts w:hint="eastAsia"/>
          <w:szCs w:val="20"/>
          <w:highlight w:val="none"/>
        </w:rPr>
      </w:pPr>
      <w:r>
        <w:rPr>
          <w:rFonts w:hint="eastAsia"/>
          <w:szCs w:val="20"/>
          <w:highlight w:val="none"/>
        </w:rPr>
        <w:t>13.2 本条所述的“不可抗力”系指那些双方不可预见、不可避免、不可克服的事件，但不包括双方的违约或疏忽。这些事件包括但不限于：战争、严重火灾、洪水、台风、地震、国家政策的重大变化，以及双方商定的其他事件。</w:t>
      </w:r>
    </w:p>
    <w:p w14:paraId="1FCA0226">
      <w:pPr>
        <w:widowControl w:val="0"/>
        <w:spacing w:line="520" w:lineRule="exact"/>
        <w:ind w:firstLine="480" w:firstLineChars="200"/>
        <w:jc w:val="both"/>
        <w:rPr>
          <w:rFonts w:hint="eastAsia"/>
          <w:szCs w:val="20"/>
          <w:highlight w:val="none"/>
        </w:rPr>
      </w:pPr>
      <w:r>
        <w:rPr>
          <w:rFonts w:hint="eastAsia"/>
          <w:szCs w:val="20"/>
          <w:highlight w:val="none"/>
        </w:rPr>
        <w:t>13.3 在不可抗力事件发生后，当事方应尽快以书面形式将不可抗力的情况和原因通知对方。合同各方应尽可能继续履行合同义务，并积极寻求采取合理的措施履行不受不可抗力影响的其他事项。合同各方应通过友好协商在合理的时间内达成进一步履行合同的协议。</w:t>
      </w:r>
    </w:p>
    <w:p w14:paraId="23C12880">
      <w:pPr>
        <w:widowControl w:val="0"/>
        <w:spacing w:line="520" w:lineRule="exact"/>
        <w:ind w:firstLine="480" w:firstLineChars="200"/>
        <w:jc w:val="both"/>
        <w:rPr>
          <w:rFonts w:hint="eastAsia"/>
          <w:szCs w:val="20"/>
          <w:highlight w:val="none"/>
          <w:lang w:val="en"/>
        </w:rPr>
      </w:pPr>
      <w:r>
        <w:rPr>
          <w:rFonts w:hint="eastAsia"/>
          <w:szCs w:val="20"/>
          <w:highlight w:val="none"/>
          <w:lang w:val="en"/>
        </w:rPr>
        <w:t>14.履约担保</w:t>
      </w:r>
    </w:p>
    <w:p w14:paraId="443B6EEC">
      <w:pPr>
        <w:widowControl w:val="0"/>
        <w:spacing w:line="520" w:lineRule="exact"/>
        <w:ind w:firstLine="480" w:firstLineChars="200"/>
        <w:jc w:val="both"/>
        <w:rPr>
          <w:rFonts w:hint="eastAsia"/>
          <w:szCs w:val="20"/>
          <w:highlight w:val="none"/>
        </w:rPr>
      </w:pPr>
      <w:r>
        <w:rPr>
          <w:rFonts w:hint="eastAsia"/>
          <w:szCs w:val="20"/>
          <w:highlight w:val="none"/>
        </w:rPr>
        <w:t>14.1 本合同是否要求供应商提供履约担保：</w:t>
      </w:r>
    </w:p>
    <w:p w14:paraId="371B24F5">
      <w:pPr>
        <w:widowControl w:val="0"/>
        <w:spacing w:line="520" w:lineRule="exact"/>
        <w:ind w:firstLine="480" w:firstLineChars="200"/>
        <w:jc w:val="both"/>
        <w:rPr>
          <w:rFonts w:hint="eastAsia"/>
          <w:szCs w:val="20"/>
          <w:highlight w:val="none"/>
        </w:rPr>
      </w:pPr>
      <w:r>
        <w:rPr>
          <w:rFonts w:hint="eastAsia"/>
          <w:szCs w:val="20"/>
          <w:highlight w:val="none"/>
        </w:rPr>
        <w:sym w:font="Wingdings 2" w:char="00A3"/>
      </w:r>
      <w:r>
        <w:rPr>
          <w:rFonts w:hint="eastAsia"/>
          <w:szCs w:val="20"/>
          <w:highlight w:val="none"/>
        </w:rPr>
        <w:t>是</w:t>
      </w:r>
    </w:p>
    <w:p w14:paraId="2765A0F3">
      <w:pPr>
        <w:widowControl w:val="0"/>
        <w:spacing w:line="520" w:lineRule="exact"/>
        <w:ind w:firstLine="480" w:firstLineChars="200"/>
        <w:jc w:val="both"/>
        <w:rPr>
          <w:rFonts w:hint="eastAsia"/>
          <w:szCs w:val="20"/>
          <w:highlight w:val="none"/>
          <w:lang w:val="en"/>
        </w:rPr>
      </w:pPr>
      <w:r>
        <w:rPr>
          <w:rFonts w:hint="eastAsia"/>
          <w:szCs w:val="20"/>
          <w:highlight w:val="none"/>
        </w:rPr>
        <w:t>履约担保的比例（不得超过10%）</w:t>
      </w:r>
      <w:r>
        <w:rPr>
          <w:szCs w:val="20"/>
          <w:highlight w:val="none"/>
          <w:lang w:val="en"/>
        </w:rPr>
        <w:t>:</w:t>
      </w:r>
    </w:p>
    <w:p w14:paraId="00DC4ADF">
      <w:pPr>
        <w:widowControl w:val="0"/>
        <w:spacing w:line="520" w:lineRule="exact"/>
        <w:ind w:firstLine="480" w:firstLineChars="200"/>
        <w:jc w:val="both"/>
        <w:rPr>
          <w:rFonts w:hint="eastAsia"/>
          <w:szCs w:val="20"/>
          <w:highlight w:val="none"/>
        </w:rPr>
      </w:pPr>
      <w:r>
        <w:rPr>
          <w:rFonts w:hint="eastAsia"/>
          <w:szCs w:val="20"/>
          <w:highlight w:val="none"/>
          <w:lang w:val="en"/>
        </w:rPr>
        <w:t>履约担保的方式：</w:t>
      </w:r>
    </w:p>
    <w:p w14:paraId="1E30F028">
      <w:pPr>
        <w:widowControl w:val="0"/>
        <w:spacing w:line="520" w:lineRule="exact"/>
        <w:ind w:firstLine="480" w:firstLineChars="200"/>
        <w:jc w:val="both"/>
        <w:rPr>
          <w:rFonts w:hint="eastAsia"/>
          <w:szCs w:val="20"/>
          <w:highlight w:val="none"/>
        </w:rPr>
      </w:pPr>
      <w:r>
        <w:rPr>
          <w:rFonts w:hint="eastAsia"/>
          <w:szCs w:val="20"/>
          <w:highlight w:val="none"/>
        </w:rPr>
        <w:sym w:font="Wingdings 2" w:char="0052"/>
      </w:r>
      <w:r>
        <w:rPr>
          <w:rFonts w:hint="eastAsia"/>
          <w:szCs w:val="20"/>
          <w:highlight w:val="none"/>
        </w:rPr>
        <w:t>否</w:t>
      </w:r>
    </w:p>
    <w:p w14:paraId="5679E946">
      <w:pPr>
        <w:widowControl w:val="0"/>
        <w:spacing w:line="520" w:lineRule="exact"/>
        <w:ind w:firstLine="480" w:firstLineChars="200"/>
        <w:jc w:val="both"/>
        <w:rPr>
          <w:rFonts w:hint="eastAsia"/>
          <w:szCs w:val="20"/>
          <w:highlight w:val="none"/>
          <w:lang w:val="en"/>
        </w:rPr>
      </w:pPr>
      <w:r>
        <w:rPr>
          <w:rFonts w:hint="eastAsia"/>
          <w:szCs w:val="20"/>
          <w:highlight w:val="none"/>
          <w:lang w:val="en"/>
        </w:rPr>
        <w:t>15.争端的解决</w:t>
      </w:r>
    </w:p>
    <w:p w14:paraId="1DF7175C">
      <w:pPr>
        <w:widowControl w:val="0"/>
        <w:spacing w:line="520" w:lineRule="exact"/>
        <w:ind w:firstLine="480" w:firstLineChars="200"/>
        <w:jc w:val="both"/>
        <w:rPr>
          <w:rFonts w:hint="eastAsia"/>
          <w:szCs w:val="20"/>
          <w:highlight w:val="none"/>
        </w:rPr>
      </w:pPr>
      <w:r>
        <w:rPr>
          <w:rFonts w:hint="eastAsia"/>
          <w:szCs w:val="20"/>
          <w:highlight w:val="none"/>
        </w:rPr>
        <w:t>15.1 甲乙双方如在履行合同中发生纠纷，首先应友好协商，协商不成，甲乙双方均应向合同签订地法院起诉。</w:t>
      </w:r>
    </w:p>
    <w:p w14:paraId="2B47D607">
      <w:pPr>
        <w:widowControl w:val="0"/>
        <w:spacing w:line="520" w:lineRule="exact"/>
        <w:ind w:firstLine="480" w:firstLineChars="200"/>
        <w:jc w:val="both"/>
        <w:rPr>
          <w:rFonts w:hint="eastAsia"/>
          <w:szCs w:val="20"/>
          <w:highlight w:val="none"/>
          <w:lang w:val="en"/>
        </w:rPr>
      </w:pPr>
      <w:r>
        <w:rPr>
          <w:rFonts w:hint="eastAsia"/>
          <w:szCs w:val="20"/>
          <w:highlight w:val="none"/>
          <w:lang w:val="en"/>
        </w:rPr>
        <w:t>16.违约终止合同</w:t>
      </w:r>
    </w:p>
    <w:p w14:paraId="7DEA8775">
      <w:pPr>
        <w:widowControl w:val="0"/>
        <w:spacing w:line="520" w:lineRule="exact"/>
        <w:ind w:firstLine="480" w:firstLineChars="200"/>
        <w:jc w:val="both"/>
        <w:rPr>
          <w:rFonts w:hint="eastAsia"/>
          <w:szCs w:val="20"/>
          <w:highlight w:val="none"/>
        </w:rPr>
      </w:pPr>
      <w:r>
        <w:rPr>
          <w:rFonts w:hint="eastAsia"/>
          <w:szCs w:val="20"/>
          <w:highlight w:val="none"/>
        </w:rPr>
        <w:t>16.1 在甲方对乙方违约而采取的任何补救措施不受影响的情况下，甲方可在下列情况下向乙方发出书面通知书，提出终止部分或全部合同。</w:t>
      </w:r>
    </w:p>
    <w:p w14:paraId="295B8732">
      <w:pPr>
        <w:widowControl w:val="0"/>
        <w:spacing w:line="520" w:lineRule="exact"/>
        <w:ind w:firstLine="480" w:firstLineChars="200"/>
        <w:jc w:val="both"/>
        <w:rPr>
          <w:rFonts w:hint="eastAsia"/>
          <w:szCs w:val="20"/>
          <w:highlight w:val="none"/>
        </w:rPr>
      </w:pPr>
      <w:r>
        <w:rPr>
          <w:rFonts w:hint="eastAsia"/>
          <w:szCs w:val="20"/>
          <w:highlight w:val="none"/>
        </w:rPr>
        <w:t>（1）如果乙方未能在合同规定的期限或甲方同意延长的期限内提供部分或全部服务。</w:t>
      </w:r>
    </w:p>
    <w:p w14:paraId="375E4E06">
      <w:pPr>
        <w:widowControl w:val="0"/>
        <w:spacing w:line="520" w:lineRule="exact"/>
        <w:ind w:firstLine="480" w:firstLineChars="200"/>
        <w:jc w:val="both"/>
        <w:rPr>
          <w:rFonts w:hint="eastAsia"/>
          <w:szCs w:val="20"/>
          <w:highlight w:val="none"/>
        </w:rPr>
      </w:pPr>
      <w:r>
        <w:rPr>
          <w:rFonts w:hint="eastAsia"/>
          <w:szCs w:val="20"/>
          <w:highlight w:val="none"/>
        </w:rPr>
        <w:t>（2）如果乙方未能履行合同规定的其它义务。</w:t>
      </w:r>
    </w:p>
    <w:p w14:paraId="37E4133F">
      <w:pPr>
        <w:widowControl w:val="0"/>
        <w:spacing w:line="520" w:lineRule="exact"/>
        <w:ind w:firstLine="480" w:firstLineChars="200"/>
        <w:jc w:val="both"/>
        <w:rPr>
          <w:rFonts w:hint="eastAsia"/>
          <w:szCs w:val="20"/>
          <w:highlight w:val="none"/>
        </w:rPr>
      </w:pPr>
      <w:r>
        <w:rPr>
          <w:rFonts w:hint="eastAsia"/>
          <w:szCs w:val="20"/>
          <w:highlight w:val="none"/>
        </w:rPr>
        <w:t>16.2 如果乙方在履行合同过程中有不正当竞争行为，甲方有权解除合同，并按《中华人民共和国反不正当竞争法》之规定由有关部门追究其法律责任。</w:t>
      </w:r>
    </w:p>
    <w:p w14:paraId="43C33446">
      <w:pPr>
        <w:widowControl w:val="0"/>
        <w:spacing w:line="520" w:lineRule="exact"/>
        <w:ind w:firstLine="480" w:firstLineChars="200"/>
        <w:jc w:val="both"/>
        <w:rPr>
          <w:rFonts w:hint="eastAsia"/>
          <w:szCs w:val="20"/>
          <w:highlight w:val="none"/>
        </w:rPr>
      </w:pPr>
      <w:r>
        <w:rPr>
          <w:rFonts w:hint="eastAsia"/>
          <w:szCs w:val="20"/>
          <w:highlight w:val="none"/>
        </w:rPr>
        <w:t>16.3 本合同之约定为双方信守，若任何一方违反有关条款经对方书面催告后七天内仍未更改，导致合同无法正常履行，违约方之对方可书面通知单方面解除合同，并追究其违约责任，由违约方支付给对方合同总标的的15%作违约金。</w:t>
      </w:r>
    </w:p>
    <w:p w14:paraId="32B939D9">
      <w:pPr>
        <w:widowControl w:val="0"/>
        <w:spacing w:line="520" w:lineRule="exact"/>
        <w:ind w:firstLine="480" w:firstLineChars="200"/>
        <w:jc w:val="both"/>
        <w:rPr>
          <w:rFonts w:hint="eastAsia"/>
          <w:szCs w:val="20"/>
          <w:highlight w:val="none"/>
          <w:lang w:val="en"/>
        </w:rPr>
      </w:pPr>
      <w:r>
        <w:rPr>
          <w:rFonts w:hint="eastAsia"/>
          <w:szCs w:val="20"/>
          <w:highlight w:val="none"/>
          <w:lang w:val="en"/>
        </w:rPr>
        <w:t>17.破产终止合同</w:t>
      </w:r>
    </w:p>
    <w:p w14:paraId="06ECFA33">
      <w:pPr>
        <w:widowControl w:val="0"/>
        <w:spacing w:line="520" w:lineRule="exact"/>
        <w:ind w:firstLine="480" w:firstLineChars="200"/>
        <w:jc w:val="both"/>
        <w:rPr>
          <w:rFonts w:hint="eastAsia"/>
          <w:szCs w:val="20"/>
          <w:highlight w:val="none"/>
        </w:rPr>
      </w:pPr>
      <w:r>
        <w:rPr>
          <w:rFonts w:hint="eastAsia"/>
          <w:szCs w:val="20"/>
          <w:highlight w:val="none"/>
        </w:rPr>
        <w:t>17.1 如果乙方丧失履约能力或被宣告破产，甲方可在任何时候以书面形式通知乙方终止合同而不给乙方补偿。该终止合同将不损害或影响甲方已经采取或将要采取任何行动或补救措施的权利。</w:t>
      </w:r>
    </w:p>
    <w:p w14:paraId="4C472B20">
      <w:pPr>
        <w:widowControl w:val="0"/>
        <w:spacing w:line="520" w:lineRule="exact"/>
        <w:ind w:firstLine="480" w:firstLineChars="200"/>
        <w:jc w:val="both"/>
        <w:rPr>
          <w:rFonts w:hint="eastAsia"/>
          <w:szCs w:val="20"/>
          <w:highlight w:val="none"/>
          <w:lang w:val="en"/>
        </w:rPr>
      </w:pPr>
      <w:r>
        <w:rPr>
          <w:rFonts w:hint="eastAsia"/>
          <w:szCs w:val="20"/>
          <w:highlight w:val="none"/>
          <w:lang w:val="en"/>
        </w:rPr>
        <w:t>18.合同转让和分包</w:t>
      </w:r>
    </w:p>
    <w:p w14:paraId="614E5818">
      <w:pPr>
        <w:widowControl w:val="0"/>
        <w:spacing w:line="520" w:lineRule="exact"/>
        <w:ind w:firstLine="480" w:firstLineChars="200"/>
        <w:jc w:val="both"/>
        <w:rPr>
          <w:rFonts w:hint="eastAsia"/>
          <w:szCs w:val="20"/>
          <w:highlight w:val="none"/>
        </w:rPr>
      </w:pPr>
      <w:r>
        <w:rPr>
          <w:rFonts w:hint="eastAsia"/>
          <w:szCs w:val="20"/>
          <w:highlight w:val="none"/>
        </w:rPr>
        <w:t>18.1 除甲方事先书面同意外，乙方不得转让和分包其应履行的合同义务。</w:t>
      </w:r>
    </w:p>
    <w:p w14:paraId="15967906">
      <w:pPr>
        <w:widowControl w:val="0"/>
        <w:spacing w:line="520" w:lineRule="exact"/>
        <w:ind w:firstLine="480" w:firstLineChars="200"/>
        <w:jc w:val="both"/>
        <w:rPr>
          <w:rFonts w:hint="eastAsia"/>
          <w:szCs w:val="20"/>
          <w:highlight w:val="none"/>
          <w:lang w:val="en"/>
        </w:rPr>
      </w:pPr>
      <w:r>
        <w:rPr>
          <w:rFonts w:hint="eastAsia"/>
          <w:szCs w:val="20"/>
          <w:highlight w:val="none"/>
          <w:lang w:val="en"/>
        </w:rPr>
        <w:t>19.合同生效</w:t>
      </w:r>
    </w:p>
    <w:p w14:paraId="48AD88A9">
      <w:pPr>
        <w:widowControl w:val="0"/>
        <w:spacing w:line="520" w:lineRule="exact"/>
        <w:ind w:firstLine="480" w:firstLineChars="200"/>
        <w:jc w:val="both"/>
        <w:rPr>
          <w:rFonts w:hint="eastAsia"/>
          <w:szCs w:val="20"/>
          <w:highlight w:val="none"/>
        </w:rPr>
      </w:pPr>
      <w:r>
        <w:rPr>
          <w:rFonts w:hint="eastAsia"/>
          <w:szCs w:val="20"/>
          <w:highlight w:val="none"/>
        </w:rPr>
        <w:t>19.1 本合同在合同各方签字盖章后生效。</w:t>
      </w:r>
    </w:p>
    <w:p w14:paraId="44609F0D">
      <w:pPr>
        <w:widowControl w:val="0"/>
        <w:spacing w:line="520" w:lineRule="exact"/>
        <w:ind w:firstLine="480" w:firstLineChars="200"/>
        <w:jc w:val="both"/>
        <w:rPr>
          <w:rFonts w:hint="eastAsia"/>
          <w:szCs w:val="20"/>
          <w:highlight w:val="none"/>
        </w:rPr>
      </w:pPr>
      <w:r>
        <w:rPr>
          <w:rFonts w:hint="eastAsia"/>
          <w:szCs w:val="20"/>
          <w:highlight w:val="none"/>
        </w:rPr>
        <w:t>19.2 本合同一式    份，甲乙双方各执   份。</w:t>
      </w:r>
    </w:p>
    <w:p w14:paraId="49C27F87">
      <w:pPr>
        <w:widowControl w:val="0"/>
        <w:spacing w:line="520" w:lineRule="exact"/>
        <w:ind w:firstLine="480" w:firstLineChars="200"/>
        <w:jc w:val="both"/>
        <w:rPr>
          <w:rFonts w:hint="eastAsia"/>
          <w:szCs w:val="20"/>
          <w:highlight w:val="none"/>
          <w:lang w:val="en"/>
        </w:rPr>
      </w:pPr>
      <w:r>
        <w:rPr>
          <w:rFonts w:hint="eastAsia"/>
          <w:szCs w:val="20"/>
          <w:highlight w:val="none"/>
          <w:lang w:val="en"/>
        </w:rPr>
        <w:t>20.合同附件</w:t>
      </w:r>
    </w:p>
    <w:p w14:paraId="45A334A9">
      <w:pPr>
        <w:widowControl w:val="0"/>
        <w:spacing w:line="520" w:lineRule="exact"/>
        <w:ind w:firstLine="480" w:firstLineChars="200"/>
        <w:jc w:val="both"/>
        <w:rPr>
          <w:rFonts w:hint="eastAsia"/>
          <w:szCs w:val="20"/>
          <w:highlight w:val="none"/>
        </w:rPr>
      </w:pPr>
      <w:r>
        <w:rPr>
          <w:rFonts w:hint="eastAsia"/>
          <w:szCs w:val="20"/>
          <w:highlight w:val="none"/>
        </w:rPr>
        <w:t>20.1 本合同附件包括：招标(采购)文件、投标（响应）文件、考核（履约验收）管理办法</w:t>
      </w:r>
    </w:p>
    <w:p w14:paraId="21281056">
      <w:pPr>
        <w:widowControl w:val="0"/>
        <w:spacing w:line="520" w:lineRule="exact"/>
        <w:ind w:firstLine="480" w:firstLineChars="200"/>
        <w:jc w:val="both"/>
        <w:rPr>
          <w:rFonts w:hint="eastAsia"/>
          <w:szCs w:val="20"/>
          <w:highlight w:val="none"/>
        </w:rPr>
      </w:pPr>
      <w:r>
        <w:rPr>
          <w:rFonts w:hint="eastAsia"/>
          <w:szCs w:val="20"/>
          <w:highlight w:val="none"/>
        </w:rPr>
        <w:t>20.2 本合同附件与合同具有同等效力。</w:t>
      </w:r>
    </w:p>
    <w:p w14:paraId="19077E06">
      <w:pPr>
        <w:widowControl w:val="0"/>
        <w:spacing w:line="520" w:lineRule="exact"/>
        <w:ind w:firstLine="480" w:firstLineChars="200"/>
        <w:jc w:val="both"/>
        <w:rPr>
          <w:rFonts w:hint="eastAsia"/>
          <w:szCs w:val="20"/>
          <w:highlight w:val="none"/>
        </w:rPr>
      </w:pPr>
      <w:r>
        <w:rPr>
          <w:rFonts w:hint="eastAsia"/>
          <w:szCs w:val="20"/>
          <w:highlight w:val="none"/>
        </w:rPr>
        <w:t>20</w:t>
      </w:r>
      <w:r>
        <w:rPr>
          <w:szCs w:val="20"/>
          <w:highlight w:val="none"/>
          <w:lang w:val="en"/>
        </w:rPr>
        <w:t>.</w:t>
      </w:r>
      <w:r>
        <w:rPr>
          <w:rFonts w:hint="eastAsia"/>
          <w:szCs w:val="20"/>
          <w:highlight w:val="none"/>
        </w:rPr>
        <w:t>3合同文件应能相互解释，互为说明。若合同文件之间有矛盾，则以最新的文件为准。</w:t>
      </w:r>
    </w:p>
    <w:p w14:paraId="4F7A6A4B">
      <w:pPr>
        <w:widowControl w:val="0"/>
        <w:spacing w:line="520" w:lineRule="exact"/>
        <w:ind w:firstLine="480" w:firstLineChars="200"/>
        <w:jc w:val="both"/>
        <w:rPr>
          <w:rFonts w:hint="eastAsia"/>
          <w:szCs w:val="20"/>
          <w:highlight w:val="none"/>
          <w:lang w:val="en"/>
        </w:rPr>
      </w:pPr>
      <w:r>
        <w:rPr>
          <w:rFonts w:hint="eastAsia"/>
          <w:szCs w:val="20"/>
          <w:highlight w:val="none"/>
          <w:lang w:val="en"/>
        </w:rPr>
        <w:t>21.合同修改</w:t>
      </w:r>
    </w:p>
    <w:p w14:paraId="264CAF57">
      <w:pPr>
        <w:widowControl w:val="0"/>
        <w:spacing w:line="520" w:lineRule="exact"/>
        <w:ind w:firstLine="480" w:firstLineChars="200"/>
        <w:jc w:val="both"/>
        <w:rPr>
          <w:rFonts w:hint="eastAsia"/>
          <w:szCs w:val="20"/>
          <w:highlight w:val="none"/>
        </w:rPr>
      </w:pPr>
      <w:r>
        <w:rPr>
          <w:rFonts w:hint="eastAsia"/>
          <w:szCs w:val="20"/>
          <w:highlight w:val="none"/>
        </w:rPr>
        <w:t>21.1 除了双方签署书面修改协议，并成为本合同不可分割的一部分之外，本合同条件不得有任何变化或修改。</w:t>
      </w:r>
    </w:p>
    <w:p w14:paraId="66EF6C41">
      <w:pPr>
        <w:widowControl w:val="0"/>
        <w:spacing w:line="520" w:lineRule="exact"/>
        <w:ind w:firstLine="480" w:firstLineChars="200"/>
        <w:jc w:val="both"/>
        <w:rPr>
          <w:rFonts w:hint="eastAsia"/>
          <w:szCs w:val="20"/>
          <w:highlight w:val="none"/>
        </w:rPr>
      </w:pPr>
      <w:r>
        <w:rPr>
          <w:rFonts w:hint="eastAsia"/>
          <w:szCs w:val="20"/>
          <w:highlight w:val="none"/>
          <w:lang w:val="en"/>
        </w:rPr>
        <w:t>22.其他补充内容：</w:t>
      </w:r>
      <w:bookmarkEnd w:id="138"/>
      <w:bookmarkEnd w:id="139"/>
      <w:bookmarkEnd w:id="140"/>
      <w:bookmarkEnd w:id="141"/>
      <w:r>
        <w:rPr>
          <w:rFonts w:hint="eastAsia"/>
          <w:szCs w:val="20"/>
          <w:highlight w:val="none"/>
        </w:rPr>
        <w:t xml:space="preserve">   </w:t>
      </w:r>
    </w:p>
    <w:p w14:paraId="0A18D6AE">
      <w:pPr>
        <w:pStyle w:val="21"/>
        <w:widowControl w:val="0"/>
        <w:adjustRightInd w:val="0"/>
        <w:ind w:firstLine="480" w:firstLineChars="200"/>
        <w:jc w:val="both"/>
        <w:textAlignment w:val="baseline"/>
        <w:rPr>
          <w:rFonts w:hint="eastAsia"/>
          <w:highlight w:val="none"/>
          <w:u w:val="single"/>
        </w:rPr>
      </w:pPr>
      <w:r>
        <w:rPr>
          <w:rFonts w:hint="eastAsia"/>
          <w:highlight w:val="none"/>
        </w:rPr>
        <w:t>1.</w:t>
      </w:r>
      <w:r>
        <w:rPr>
          <w:rFonts w:hint="eastAsia"/>
          <w:highlight w:val="none"/>
          <w:u w:val="single"/>
        </w:rPr>
        <w:t xml:space="preserve">                                                     </w:t>
      </w:r>
    </w:p>
    <w:p w14:paraId="75F07540">
      <w:pPr>
        <w:pStyle w:val="21"/>
        <w:widowControl w:val="0"/>
        <w:adjustRightInd w:val="0"/>
        <w:ind w:firstLine="0"/>
        <w:jc w:val="both"/>
        <w:textAlignment w:val="baseline"/>
        <w:rPr>
          <w:rFonts w:hint="eastAsia"/>
          <w:highlight w:val="none"/>
          <w:u w:val="single"/>
        </w:rPr>
      </w:pPr>
      <w:r>
        <w:rPr>
          <w:rFonts w:hint="eastAsia"/>
          <w:highlight w:val="none"/>
          <w:u w:val="single"/>
        </w:rPr>
        <w:t xml:space="preserve">                                                           </w:t>
      </w:r>
    </w:p>
    <w:p w14:paraId="24CF0041">
      <w:pPr>
        <w:pStyle w:val="21"/>
        <w:widowControl w:val="0"/>
        <w:adjustRightInd w:val="0"/>
        <w:ind w:firstLine="480" w:firstLineChars="200"/>
        <w:jc w:val="both"/>
        <w:textAlignment w:val="baseline"/>
        <w:rPr>
          <w:rFonts w:hint="eastAsia"/>
          <w:highlight w:val="none"/>
          <w:u w:val="single"/>
        </w:rPr>
      </w:pPr>
      <w:r>
        <w:rPr>
          <w:rFonts w:hint="eastAsia"/>
          <w:highlight w:val="none"/>
        </w:rPr>
        <w:t>2.</w:t>
      </w:r>
      <w:r>
        <w:rPr>
          <w:rFonts w:hint="eastAsia"/>
          <w:highlight w:val="none"/>
          <w:u w:val="single"/>
        </w:rPr>
        <w:t xml:space="preserve">                                                     </w:t>
      </w:r>
    </w:p>
    <w:p w14:paraId="34497596">
      <w:pPr>
        <w:pStyle w:val="21"/>
        <w:widowControl w:val="0"/>
        <w:adjustRightInd w:val="0"/>
        <w:ind w:firstLine="0"/>
        <w:jc w:val="both"/>
        <w:textAlignment w:val="baseline"/>
        <w:rPr>
          <w:rFonts w:hint="eastAsia"/>
          <w:highlight w:val="none"/>
          <w:u w:val="single"/>
        </w:rPr>
      </w:pPr>
      <w:r>
        <w:rPr>
          <w:rFonts w:hint="eastAsia"/>
          <w:highlight w:val="none"/>
          <w:u w:val="single"/>
        </w:rPr>
        <w:t xml:space="preserve">                                                           </w:t>
      </w:r>
    </w:p>
    <w:p w14:paraId="0130C946">
      <w:pPr>
        <w:pStyle w:val="21"/>
        <w:widowControl w:val="0"/>
        <w:adjustRightInd w:val="0"/>
        <w:ind w:firstLine="480" w:firstLineChars="200"/>
        <w:jc w:val="both"/>
        <w:textAlignment w:val="baseline"/>
        <w:rPr>
          <w:rFonts w:hint="eastAsia"/>
          <w:highlight w:val="none"/>
          <w:u w:val="single"/>
        </w:rPr>
      </w:pPr>
      <w:r>
        <w:rPr>
          <w:rFonts w:hint="eastAsia"/>
          <w:highlight w:val="none"/>
        </w:rPr>
        <w:t>3.</w:t>
      </w:r>
      <w:r>
        <w:rPr>
          <w:rFonts w:hint="eastAsia"/>
          <w:highlight w:val="none"/>
          <w:u w:val="single"/>
        </w:rPr>
        <w:t xml:space="preserve">                                                     </w:t>
      </w:r>
    </w:p>
    <w:p w14:paraId="47A6245F">
      <w:pPr>
        <w:pStyle w:val="21"/>
        <w:widowControl w:val="0"/>
        <w:adjustRightInd w:val="0"/>
        <w:ind w:firstLine="0"/>
        <w:jc w:val="both"/>
        <w:textAlignment w:val="baseline"/>
        <w:rPr>
          <w:rFonts w:hint="eastAsia"/>
          <w:highlight w:val="none"/>
          <w:u w:val="single"/>
        </w:rPr>
      </w:pPr>
      <w:r>
        <w:rPr>
          <w:rFonts w:hint="eastAsia"/>
          <w:highlight w:val="none"/>
          <w:u w:val="single"/>
        </w:rPr>
        <w:t xml:space="preserve">                                                           </w:t>
      </w:r>
    </w:p>
    <w:p w14:paraId="4BCE3537">
      <w:pPr>
        <w:widowControl w:val="0"/>
        <w:spacing w:line="520" w:lineRule="exact"/>
        <w:ind w:firstLine="480" w:firstLineChars="200"/>
        <w:jc w:val="both"/>
        <w:rPr>
          <w:rFonts w:hint="eastAsia"/>
          <w:szCs w:val="20"/>
          <w:highlight w:val="none"/>
        </w:rPr>
      </w:pPr>
      <w:r>
        <w:rPr>
          <w:rFonts w:hint="eastAsia"/>
          <w:szCs w:val="20"/>
          <w:highlight w:val="none"/>
        </w:rPr>
        <w:t>……</w:t>
      </w:r>
    </w:p>
    <w:tbl>
      <w:tblPr>
        <w:tblStyle w:val="37"/>
        <w:tblW w:w="8963" w:type="dxa"/>
        <w:tblCellSpacing w:w="7" w:type="dxa"/>
        <w:tblInd w:w="2" w:type="dxa"/>
        <w:tblLayout w:type="fixed"/>
        <w:tblCellMar>
          <w:top w:w="0" w:type="dxa"/>
          <w:left w:w="108" w:type="dxa"/>
          <w:bottom w:w="0" w:type="dxa"/>
          <w:right w:w="108" w:type="dxa"/>
        </w:tblCellMar>
      </w:tblPr>
      <w:tblGrid>
        <w:gridCol w:w="4707"/>
        <w:gridCol w:w="4256"/>
      </w:tblGrid>
      <w:tr w14:paraId="48C71608">
        <w:tblPrEx>
          <w:tblCellMar>
            <w:top w:w="0" w:type="dxa"/>
            <w:left w:w="108" w:type="dxa"/>
            <w:bottom w:w="0" w:type="dxa"/>
            <w:right w:w="108" w:type="dxa"/>
          </w:tblCellMar>
        </w:tblPrEx>
        <w:trPr>
          <w:trHeight w:val="845" w:hRule="atLeast"/>
          <w:tblCellSpacing w:w="7" w:type="dxa"/>
        </w:trPr>
        <w:tc>
          <w:tcPr>
            <w:tcW w:w="4686" w:type="dxa"/>
            <w:tcMar>
              <w:top w:w="15" w:type="dxa"/>
              <w:left w:w="15" w:type="dxa"/>
              <w:bottom w:w="15" w:type="dxa"/>
              <w:right w:w="15" w:type="dxa"/>
            </w:tcMar>
            <w:vAlign w:val="center"/>
          </w:tcPr>
          <w:p w14:paraId="40DC6914">
            <w:pPr>
              <w:widowControl w:val="0"/>
              <w:spacing w:line="520" w:lineRule="exact"/>
              <w:jc w:val="both"/>
              <w:rPr>
                <w:rFonts w:hint="eastAsia"/>
                <w:szCs w:val="20"/>
                <w:highlight w:val="none"/>
              </w:rPr>
            </w:pPr>
            <w:r>
              <w:rPr>
                <w:rFonts w:hint="eastAsia"/>
                <w:szCs w:val="20"/>
                <w:highlight w:val="none"/>
              </w:rPr>
              <w:t>甲方（盖章）：</w:t>
            </w:r>
          </w:p>
        </w:tc>
        <w:tc>
          <w:tcPr>
            <w:tcW w:w="4235" w:type="dxa"/>
            <w:tcMar>
              <w:top w:w="15" w:type="dxa"/>
              <w:left w:w="15" w:type="dxa"/>
              <w:bottom w:w="15" w:type="dxa"/>
              <w:right w:w="15" w:type="dxa"/>
            </w:tcMar>
            <w:vAlign w:val="center"/>
          </w:tcPr>
          <w:p w14:paraId="62B805E5">
            <w:pPr>
              <w:widowControl w:val="0"/>
              <w:spacing w:line="520" w:lineRule="exact"/>
              <w:jc w:val="both"/>
              <w:rPr>
                <w:rFonts w:hint="eastAsia"/>
                <w:szCs w:val="20"/>
                <w:highlight w:val="none"/>
              </w:rPr>
            </w:pPr>
            <w:r>
              <w:rPr>
                <w:rFonts w:hint="eastAsia"/>
                <w:szCs w:val="20"/>
                <w:highlight w:val="none"/>
              </w:rPr>
              <w:t>乙方（盖章）：</w:t>
            </w:r>
          </w:p>
        </w:tc>
      </w:tr>
      <w:tr w14:paraId="49FF1E1E">
        <w:tblPrEx>
          <w:tblCellMar>
            <w:top w:w="0" w:type="dxa"/>
            <w:left w:w="108" w:type="dxa"/>
            <w:bottom w:w="0" w:type="dxa"/>
            <w:right w:w="108" w:type="dxa"/>
          </w:tblCellMar>
        </w:tblPrEx>
        <w:trPr>
          <w:trHeight w:val="1149" w:hRule="atLeast"/>
          <w:tblCellSpacing w:w="7" w:type="dxa"/>
        </w:trPr>
        <w:tc>
          <w:tcPr>
            <w:tcW w:w="4686" w:type="dxa"/>
            <w:tcMar>
              <w:top w:w="15" w:type="dxa"/>
              <w:left w:w="15" w:type="dxa"/>
              <w:bottom w:w="15" w:type="dxa"/>
              <w:right w:w="15" w:type="dxa"/>
            </w:tcMar>
          </w:tcPr>
          <w:p w14:paraId="18A503B4">
            <w:pPr>
              <w:widowControl w:val="0"/>
              <w:spacing w:line="520" w:lineRule="exact"/>
              <w:jc w:val="both"/>
              <w:rPr>
                <w:rFonts w:hint="eastAsia"/>
                <w:szCs w:val="20"/>
                <w:highlight w:val="none"/>
              </w:rPr>
            </w:pPr>
            <w:r>
              <w:rPr>
                <w:rFonts w:hint="eastAsia"/>
                <w:szCs w:val="20"/>
                <w:highlight w:val="none"/>
              </w:rPr>
              <w:t>法定代表人或授权委托人（签章）：</w:t>
            </w:r>
          </w:p>
        </w:tc>
        <w:tc>
          <w:tcPr>
            <w:tcW w:w="4235" w:type="dxa"/>
            <w:tcMar>
              <w:top w:w="15" w:type="dxa"/>
              <w:left w:w="15" w:type="dxa"/>
              <w:bottom w:w="15" w:type="dxa"/>
              <w:right w:w="15" w:type="dxa"/>
            </w:tcMar>
          </w:tcPr>
          <w:p w14:paraId="0D8BDF38">
            <w:pPr>
              <w:widowControl w:val="0"/>
              <w:spacing w:line="520" w:lineRule="exact"/>
              <w:jc w:val="both"/>
              <w:rPr>
                <w:rFonts w:hint="eastAsia"/>
                <w:szCs w:val="20"/>
                <w:highlight w:val="none"/>
              </w:rPr>
            </w:pPr>
            <w:r>
              <w:rPr>
                <w:rFonts w:hint="eastAsia"/>
                <w:szCs w:val="20"/>
                <w:highlight w:val="none"/>
              </w:rPr>
              <w:t>法定代表人或授权委托人（签章）：</w:t>
            </w:r>
          </w:p>
        </w:tc>
      </w:tr>
      <w:tr w14:paraId="19509AA0">
        <w:tblPrEx>
          <w:tblCellMar>
            <w:top w:w="0" w:type="dxa"/>
            <w:left w:w="108" w:type="dxa"/>
            <w:bottom w:w="0" w:type="dxa"/>
            <w:right w:w="108" w:type="dxa"/>
          </w:tblCellMar>
        </w:tblPrEx>
        <w:trPr>
          <w:trHeight w:val="714" w:hRule="atLeast"/>
          <w:tblCellSpacing w:w="7" w:type="dxa"/>
        </w:trPr>
        <w:tc>
          <w:tcPr>
            <w:tcW w:w="4686" w:type="dxa"/>
            <w:tcMar>
              <w:top w:w="15" w:type="dxa"/>
              <w:left w:w="15" w:type="dxa"/>
              <w:bottom w:w="15" w:type="dxa"/>
              <w:right w:w="15" w:type="dxa"/>
            </w:tcMar>
            <w:vAlign w:val="center"/>
          </w:tcPr>
          <w:p w14:paraId="5B333645">
            <w:pPr>
              <w:widowControl w:val="0"/>
              <w:spacing w:line="520" w:lineRule="exact"/>
              <w:jc w:val="both"/>
              <w:rPr>
                <w:rFonts w:hint="eastAsia"/>
                <w:szCs w:val="20"/>
                <w:highlight w:val="none"/>
              </w:rPr>
            </w:pPr>
            <w:r>
              <w:rPr>
                <w:rFonts w:hint="eastAsia"/>
                <w:szCs w:val="20"/>
                <w:highlight w:val="none"/>
              </w:rPr>
              <w:t>合同签订地点：</w:t>
            </w:r>
          </w:p>
        </w:tc>
        <w:tc>
          <w:tcPr>
            <w:tcW w:w="4235" w:type="dxa"/>
            <w:tcMar>
              <w:top w:w="15" w:type="dxa"/>
              <w:left w:w="15" w:type="dxa"/>
              <w:bottom w:w="15" w:type="dxa"/>
              <w:right w:w="15" w:type="dxa"/>
            </w:tcMar>
            <w:vAlign w:val="center"/>
          </w:tcPr>
          <w:p w14:paraId="56B5D8F2">
            <w:pPr>
              <w:widowControl w:val="0"/>
              <w:spacing w:line="520" w:lineRule="exact"/>
              <w:jc w:val="both"/>
              <w:rPr>
                <w:rFonts w:hint="eastAsia"/>
                <w:szCs w:val="20"/>
                <w:highlight w:val="none"/>
              </w:rPr>
            </w:pPr>
            <w:r>
              <w:rPr>
                <w:rFonts w:hint="eastAsia"/>
                <w:szCs w:val="20"/>
                <w:highlight w:val="none"/>
              </w:rPr>
              <w:t>合同签订地点：</w:t>
            </w:r>
          </w:p>
        </w:tc>
      </w:tr>
      <w:tr w14:paraId="1A324D8D">
        <w:tblPrEx>
          <w:tblCellMar>
            <w:top w:w="0" w:type="dxa"/>
            <w:left w:w="108" w:type="dxa"/>
            <w:bottom w:w="0" w:type="dxa"/>
            <w:right w:w="108" w:type="dxa"/>
          </w:tblCellMar>
        </w:tblPrEx>
        <w:trPr>
          <w:trHeight w:val="826" w:hRule="atLeast"/>
          <w:tblCellSpacing w:w="7" w:type="dxa"/>
        </w:trPr>
        <w:tc>
          <w:tcPr>
            <w:tcW w:w="4686" w:type="dxa"/>
            <w:tcMar>
              <w:top w:w="15" w:type="dxa"/>
              <w:left w:w="15" w:type="dxa"/>
              <w:bottom w:w="15" w:type="dxa"/>
              <w:right w:w="15" w:type="dxa"/>
            </w:tcMar>
            <w:vAlign w:val="center"/>
          </w:tcPr>
          <w:p w14:paraId="4448B661">
            <w:pPr>
              <w:widowControl w:val="0"/>
              <w:spacing w:line="520" w:lineRule="exact"/>
              <w:jc w:val="both"/>
              <w:rPr>
                <w:rFonts w:hint="eastAsia"/>
                <w:szCs w:val="20"/>
                <w:highlight w:val="none"/>
              </w:rPr>
            </w:pPr>
            <w:r>
              <w:rPr>
                <w:rFonts w:hint="eastAsia"/>
                <w:szCs w:val="20"/>
                <w:highlight w:val="none"/>
              </w:rPr>
              <w:t>日期：</w:t>
            </w:r>
          </w:p>
        </w:tc>
        <w:tc>
          <w:tcPr>
            <w:tcW w:w="4235" w:type="dxa"/>
            <w:tcMar>
              <w:top w:w="15" w:type="dxa"/>
              <w:left w:w="15" w:type="dxa"/>
              <w:bottom w:w="15" w:type="dxa"/>
              <w:right w:w="15" w:type="dxa"/>
            </w:tcMar>
            <w:vAlign w:val="center"/>
          </w:tcPr>
          <w:p w14:paraId="3489814E">
            <w:pPr>
              <w:widowControl w:val="0"/>
              <w:spacing w:line="520" w:lineRule="exact"/>
              <w:jc w:val="both"/>
              <w:rPr>
                <w:rFonts w:hint="eastAsia"/>
                <w:szCs w:val="20"/>
                <w:highlight w:val="none"/>
              </w:rPr>
            </w:pPr>
            <w:r>
              <w:rPr>
                <w:rFonts w:hint="eastAsia"/>
                <w:szCs w:val="20"/>
                <w:highlight w:val="none"/>
              </w:rPr>
              <w:t>日期：</w:t>
            </w:r>
          </w:p>
        </w:tc>
      </w:tr>
    </w:tbl>
    <w:p w14:paraId="16D5E740">
      <w:pPr>
        <w:widowControl w:val="0"/>
        <w:tabs>
          <w:tab w:val="left" w:pos="5535"/>
        </w:tabs>
        <w:spacing w:line="520" w:lineRule="exact"/>
        <w:jc w:val="both"/>
        <w:rPr>
          <w:rFonts w:hint="eastAsia"/>
          <w:szCs w:val="20"/>
          <w:highlight w:val="none"/>
        </w:rPr>
      </w:pPr>
      <w:r>
        <w:rPr>
          <w:rFonts w:hint="eastAsia"/>
          <w:szCs w:val="20"/>
          <w:highlight w:val="none"/>
        </w:rPr>
        <w:tab/>
      </w:r>
    </w:p>
    <w:p w14:paraId="2715519A">
      <w:pPr>
        <w:rPr>
          <w:rFonts w:hint="eastAsia"/>
          <w:szCs w:val="20"/>
          <w:highlight w:val="none"/>
        </w:rPr>
      </w:pPr>
      <w:r>
        <w:rPr>
          <w:rFonts w:hint="eastAsia"/>
          <w:szCs w:val="20"/>
          <w:highlight w:val="none"/>
        </w:rPr>
        <w:br w:type="page"/>
      </w:r>
    </w:p>
    <w:p w14:paraId="77E84221">
      <w:pPr>
        <w:widowControl w:val="0"/>
        <w:spacing w:line="500" w:lineRule="exact"/>
        <w:jc w:val="center"/>
        <w:rPr>
          <w:rFonts w:hint="eastAsia"/>
          <w:szCs w:val="20"/>
          <w:highlight w:val="none"/>
        </w:rPr>
      </w:pPr>
      <w:r>
        <w:rPr>
          <w:rFonts w:hint="eastAsia"/>
          <w:szCs w:val="20"/>
          <w:highlight w:val="none"/>
        </w:rPr>
        <w:t>廉政承诺书</w:t>
      </w:r>
    </w:p>
    <w:p w14:paraId="243DED3E">
      <w:pPr>
        <w:widowControl w:val="0"/>
        <w:spacing w:line="500" w:lineRule="exact"/>
        <w:ind w:firstLine="480" w:firstLineChars="200"/>
        <w:jc w:val="both"/>
        <w:rPr>
          <w:rFonts w:hint="eastAsia"/>
          <w:szCs w:val="20"/>
          <w:highlight w:val="none"/>
        </w:rPr>
      </w:pPr>
      <w:r>
        <w:rPr>
          <w:rFonts w:hint="eastAsia"/>
          <w:szCs w:val="20"/>
          <w:highlight w:val="none"/>
        </w:rPr>
        <w:t xml:space="preserve">承诺单位：                                </w:t>
      </w:r>
    </w:p>
    <w:p w14:paraId="76C323BC">
      <w:pPr>
        <w:widowControl w:val="0"/>
        <w:spacing w:line="500" w:lineRule="exact"/>
        <w:ind w:firstLine="480" w:firstLineChars="200"/>
        <w:jc w:val="both"/>
        <w:rPr>
          <w:rFonts w:hint="eastAsia"/>
          <w:szCs w:val="20"/>
          <w:highlight w:val="none"/>
        </w:rPr>
      </w:pPr>
      <w:r>
        <w:rPr>
          <w:rFonts w:hint="eastAsia"/>
          <w:szCs w:val="20"/>
          <w:highlight w:val="none"/>
        </w:rPr>
        <w:t xml:space="preserve">服务项目：                                </w:t>
      </w:r>
    </w:p>
    <w:p w14:paraId="373ED6B0">
      <w:pPr>
        <w:widowControl w:val="0"/>
        <w:spacing w:line="500" w:lineRule="exact"/>
        <w:ind w:firstLine="480" w:firstLineChars="200"/>
        <w:jc w:val="both"/>
        <w:rPr>
          <w:rFonts w:hint="eastAsia"/>
          <w:szCs w:val="20"/>
          <w:highlight w:val="none"/>
        </w:rPr>
      </w:pPr>
      <w:r>
        <w:rPr>
          <w:rFonts w:hint="eastAsia"/>
          <w:szCs w:val="20"/>
          <w:highlight w:val="none"/>
        </w:rPr>
        <w:t xml:space="preserve">购买单位：                                </w:t>
      </w:r>
    </w:p>
    <w:p w14:paraId="00BEED4A">
      <w:pPr>
        <w:widowControl w:val="0"/>
        <w:spacing w:line="500" w:lineRule="exact"/>
        <w:ind w:firstLine="480" w:firstLineChars="200"/>
        <w:jc w:val="both"/>
        <w:rPr>
          <w:rFonts w:hint="eastAsia"/>
          <w:szCs w:val="20"/>
          <w:highlight w:val="none"/>
        </w:rPr>
      </w:pPr>
      <w:r>
        <w:rPr>
          <w:rFonts w:hint="eastAsia"/>
          <w:szCs w:val="20"/>
          <w:highlight w:val="none"/>
        </w:rPr>
        <w:t>为切实推进政府购买服务工作的规范公正，净化政府购买服务领域的良好风气，防止发生各种谋取不正当利益的违纪违法行为，特签署本廉政承诺书，作出以下承诺：</w:t>
      </w:r>
    </w:p>
    <w:p w14:paraId="37A1F112">
      <w:pPr>
        <w:widowControl w:val="0"/>
        <w:spacing w:line="500" w:lineRule="exact"/>
        <w:ind w:firstLine="480" w:firstLineChars="200"/>
        <w:jc w:val="both"/>
        <w:rPr>
          <w:rFonts w:hint="eastAsia"/>
          <w:szCs w:val="20"/>
          <w:highlight w:val="none"/>
        </w:rPr>
      </w:pPr>
      <w:r>
        <w:rPr>
          <w:rFonts w:hint="eastAsia"/>
          <w:szCs w:val="20"/>
          <w:highlight w:val="none"/>
        </w:rPr>
        <w:t>1.严格遵守党和国家有关法律法规及廉政规定；</w:t>
      </w:r>
    </w:p>
    <w:p w14:paraId="5AAA1A6D">
      <w:pPr>
        <w:widowControl w:val="0"/>
        <w:spacing w:line="500" w:lineRule="exact"/>
        <w:ind w:firstLine="480" w:firstLineChars="200"/>
        <w:jc w:val="both"/>
        <w:rPr>
          <w:rFonts w:hint="eastAsia"/>
          <w:szCs w:val="20"/>
          <w:highlight w:val="none"/>
        </w:rPr>
      </w:pPr>
      <w:r>
        <w:rPr>
          <w:rFonts w:hint="eastAsia"/>
          <w:szCs w:val="20"/>
          <w:highlight w:val="none"/>
        </w:rPr>
        <w:t>2.严格按照投标（响应）文件签订服务合同并执行，自觉依照合同规定办事，不将合同进行转包或者非法分包；</w:t>
      </w:r>
    </w:p>
    <w:p w14:paraId="4AC4B990">
      <w:pPr>
        <w:widowControl w:val="0"/>
        <w:spacing w:line="500" w:lineRule="exact"/>
        <w:ind w:firstLine="480" w:firstLineChars="200"/>
        <w:jc w:val="both"/>
        <w:rPr>
          <w:rFonts w:hint="eastAsia"/>
          <w:szCs w:val="20"/>
          <w:highlight w:val="none"/>
        </w:rPr>
      </w:pPr>
      <w:r>
        <w:rPr>
          <w:rFonts w:hint="eastAsia"/>
          <w:szCs w:val="20"/>
          <w:highlight w:val="none"/>
        </w:rPr>
        <w:t>3.不以任何理由向购买单位及其工作人员提供可能影响公正执行公务的宴请或者旅游、健身、娱乐等活动安排，赠送可能影响公正执行公务的礼品、礼金、消费卡等财物；</w:t>
      </w:r>
    </w:p>
    <w:p w14:paraId="780FADB7">
      <w:pPr>
        <w:widowControl w:val="0"/>
        <w:spacing w:line="500" w:lineRule="exact"/>
        <w:ind w:firstLine="480" w:firstLineChars="200"/>
        <w:rPr>
          <w:rFonts w:hint="eastAsia"/>
          <w:szCs w:val="20"/>
          <w:highlight w:val="none"/>
        </w:rPr>
      </w:pPr>
      <w:r>
        <w:rPr>
          <w:rFonts w:hint="eastAsia"/>
          <w:szCs w:val="20"/>
          <w:highlight w:val="none"/>
        </w:rPr>
        <w:t>4.不与购买单位的工作人员发生借贷、租赁或合伙经营等个人经济关系；</w:t>
      </w:r>
    </w:p>
    <w:p w14:paraId="0C882E9C">
      <w:pPr>
        <w:widowControl w:val="0"/>
        <w:spacing w:line="500" w:lineRule="exact"/>
        <w:ind w:firstLine="480" w:firstLineChars="200"/>
        <w:jc w:val="both"/>
        <w:rPr>
          <w:rFonts w:hint="eastAsia"/>
          <w:szCs w:val="20"/>
          <w:highlight w:val="none"/>
        </w:rPr>
      </w:pPr>
      <w:r>
        <w:rPr>
          <w:rFonts w:hint="eastAsia"/>
          <w:szCs w:val="20"/>
          <w:highlight w:val="none"/>
        </w:rPr>
        <w:t>5.不以任何名义向购买单位及其工作人员输送利益；</w:t>
      </w:r>
    </w:p>
    <w:p w14:paraId="5F70C427">
      <w:pPr>
        <w:widowControl w:val="0"/>
        <w:spacing w:line="500" w:lineRule="exact"/>
        <w:ind w:firstLine="480" w:firstLineChars="200"/>
        <w:jc w:val="both"/>
        <w:rPr>
          <w:rFonts w:hint="eastAsia"/>
          <w:szCs w:val="20"/>
          <w:highlight w:val="none"/>
        </w:rPr>
      </w:pPr>
      <w:r>
        <w:rPr>
          <w:rFonts w:hint="eastAsia"/>
          <w:szCs w:val="20"/>
          <w:highlight w:val="none"/>
        </w:rPr>
        <w:t>6.不与购买单位的相关人员在工作时间之外有非业务上的接触；</w:t>
      </w:r>
    </w:p>
    <w:p w14:paraId="0421EFD4">
      <w:pPr>
        <w:widowControl w:val="0"/>
        <w:spacing w:line="500" w:lineRule="exact"/>
        <w:ind w:firstLine="480" w:firstLineChars="200"/>
        <w:jc w:val="both"/>
        <w:rPr>
          <w:rFonts w:hint="eastAsia"/>
          <w:szCs w:val="20"/>
          <w:highlight w:val="none"/>
        </w:rPr>
      </w:pPr>
      <w:r>
        <w:rPr>
          <w:rFonts w:hint="eastAsia"/>
          <w:szCs w:val="20"/>
          <w:highlight w:val="none"/>
        </w:rPr>
        <w:t>7.需与购买单位工作人员面对面洽谈与本服务项目相关事宜的，不在购买单位工作场所或服务项目相关场所之外的地点进行；</w:t>
      </w:r>
    </w:p>
    <w:p w14:paraId="24FA3B75">
      <w:pPr>
        <w:widowControl w:val="0"/>
        <w:spacing w:line="500" w:lineRule="exact"/>
        <w:ind w:firstLine="480" w:firstLineChars="200"/>
        <w:jc w:val="both"/>
        <w:rPr>
          <w:rFonts w:hint="eastAsia"/>
          <w:szCs w:val="20"/>
          <w:highlight w:val="none"/>
        </w:rPr>
      </w:pPr>
      <w:r>
        <w:rPr>
          <w:rFonts w:hint="eastAsia"/>
          <w:szCs w:val="20"/>
          <w:highlight w:val="none"/>
        </w:rPr>
        <w:t>8.自觉接受、积极配合购买单位对服务项目的履约验收工作，及时确认履约验收结果，及时整改履约过程中可能存在的问题；</w:t>
      </w:r>
    </w:p>
    <w:p w14:paraId="2EC7CE1F">
      <w:pPr>
        <w:widowControl w:val="0"/>
        <w:spacing w:line="500" w:lineRule="exact"/>
        <w:ind w:firstLine="480" w:firstLineChars="200"/>
        <w:jc w:val="both"/>
        <w:rPr>
          <w:rFonts w:hint="eastAsia"/>
          <w:szCs w:val="20"/>
          <w:highlight w:val="none"/>
        </w:rPr>
      </w:pPr>
      <w:r>
        <w:rPr>
          <w:rFonts w:hint="eastAsia"/>
          <w:szCs w:val="20"/>
          <w:highlight w:val="none"/>
        </w:rPr>
        <w:t>9.建立健全本单位各项廉政制度，严明工作纪律，并予以严格执行；</w:t>
      </w:r>
    </w:p>
    <w:p w14:paraId="423B5434">
      <w:pPr>
        <w:widowControl w:val="0"/>
        <w:spacing w:line="500" w:lineRule="exact"/>
        <w:ind w:firstLine="480" w:firstLineChars="200"/>
        <w:jc w:val="both"/>
        <w:rPr>
          <w:rFonts w:hint="eastAsia"/>
          <w:szCs w:val="20"/>
          <w:highlight w:val="none"/>
        </w:rPr>
      </w:pPr>
      <w:r>
        <w:rPr>
          <w:rFonts w:hint="eastAsia"/>
          <w:szCs w:val="20"/>
          <w:highlight w:val="none"/>
        </w:rPr>
        <w:t>10.其他需要承诺的事项：</w:t>
      </w:r>
    </w:p>
    <w:p w14:paraId="791A19AA">
      <w:pPr>
        <w:widowControl w:val="0"/>
        <w:spacing w:line="500" w:lineRule="exact"/>
        <w:ind w:firstLine="480" w:firstLineChars="200"/>
        <w:jc w:val="both"/>
        <w:rPr>
          <w:rFonts w:hint="eastAsia"/>
          <w:szCs w:val="20"/>
          <w:highlight w:val="none"/>
          <w:u w:val="single"/>
        </w:rPr>
      </w:pPr>
      <w:r>
        <w:rPr>
          <w:rFonts w:hint="eastAsia"/>
          <w:szCs w:val="20"/>
          <w:highlight w:val="none"/>
          <w:u w:val="single"/>
        </w:rPr>
        <w:t xml:space="preserve">                                                   </w:t>
      </w:r>
    </w:p>
    <w:p w14:paraId="79579999">
      <w:pPr>
        <w:widowControl w:val="0"/>
        <w:spacing w:line="500" w:lineRule="exact"/>
        <w:ind w:firstLine="480" w:firstLineChars="200"/>
        <w:jc w:val="both"/>
        <w:rPr>
          <w:rFonts w:hint="eastAsia"/>
          <w:szCs w:val="20"/>
          <w:highlight w:val="none"/>
        </w:rPr>
      </w:pPr>
      <w:r>
        <w:rPr>
          <w:rFonts w:hint="eastAsia"/>
          <w:szCs w:val="20"/>
          <w:highlight w:val="none"/>
        </w:rPr>
        <w:t>本单位将严格履行上述承诺内容，愿就上述承诺自觉接受并积极配合各相关职能部门的监督检查，如我单位及其工作人员违反本承诺书规定的，愿按相关法律法规规定及管理权限接受相应处理。</w:t>
      </w:r>
    </w:p>
    <w:p w14:paraId="30AC72C0">
      <w:pPr>
        <w:widowControl w:val="0"/>
        <w:spacing w:line="400" w:lineRule="exact"/>
        <w:ind w:firstLine="480" w:firstLineChars="200"/>
        <w:jc w:val="both"/>
        <w:rPr>
          <w:rFonts w:hint="eastAsia"/>
          <w:szCs w:val="20"/>
          <w:highlight w:val="none"/>
        </w:rPr>
      </w:pPr>
      <w:r>
        <w:rPr>
          <w:rFonts w:hint="eastAsia"/>
          <w:szCs w:val="20"/>
          <w:highlight w:val="none"/>
        </w:rPr>
        <w:t xml:space="preserve">承诺单位（盖章）：       代表（签字）：                    </w:t>
      </w:r>
    </w:p>
    <w:p w14:paraId="62BB0671">
      <w:pPr>
        <w:widowControl w:val="0"/>
        <w:spacing w:line="400" w:lineRule="exact"/>
        <w:ind w:firstLine="480" w:firstLineChars="200"/>
        <w:jc w:val="both"/>
        <w:rPr>
          <w:rFonts w:hint="eastAsia"/>
          <w:szCs w:val="20"/>
          <w:highlight w:val="none"/>
        </w:rPr>
      </w:pPr>
      <w:r>
        <w:rPr>
          <w:rFonts w:hint="eastAsia"/>
          <w:szCs w:val="20"/>
          <w:highlight w:val="none"/>
        </w:rPr>
        <w:t>签署时间：      年  月  日</w:t>
      </w:r>
    </w:p>
    <w:p w14:paraId="3BF2FCF6">
      <w:pPr>
        <w:pStyle w:val="15"/>
        <w:spacing w:before="5" w:line="360" w:lineRule="auto"/>
        <w:ind w:left="820"/>
        <w:rPr>
          <w:rFonts w:hint="eastAsia"/>
          <w:b/>
          <w:highlight w:val="none"/>
        </w:rPr>
      </w:pPr>
    </w:p>
    <w:sectPr>
      <w:headerReference r:id="rId11" w:type="default"/>
      <w:footerReference r:id="rId12" w:type="default"/>
      <w:pgSz w:w="11906" w:h="16838"/>
      <w:pgMar w:top="1361" w:right="1361" w:bottom="1361" w:left="1361" w:header="851" w:footer="851" w:gutter="0"/>
      <w:pgNumType w:chapStyle="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Black">
    <w:panose1 w:val="020B0A04020102020204"/>
    <w:charset w:val="00"/>
    <w:family w:val="swiss"/>
    <w:pitch w:val="default"/>
    <w:sig w:usb0="A00002AF" w:usb1="400078FB" w:usb2="00000000" w:usb3="00000000" w:csb0="6000009F" w:csb1="DFD7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F0FA1">
    <w:pPr>
      <w:pStyle w:val="23"/>
      <w:framePr w:wrap="around" w:vAnchor="text" w:hAnchor="margin" w:xAlign="center" w:y="1"/>
      <w:rPr>
        <w:rStyle w:val="41"/>
        <w:rFonts w:hint="eastAsia"/>
      </w:rPr>
    </w:pPr>
    <w:r>
      <w:fldChar w:fldCharType="begin"/>
    </w:r>
    <w:r>
      <w:rPr>
        <w:rStyle w:val="41"/>
      </w:rPr>
      <w:instrText xml:space="preserve">PAGE  </w:instrText>
    </w:r>
    <w:r>
      <w:fldChar w:fldCharType="separate"/>
    </w:r>
    <w:r>
      <w:rPr>
        <w:rStyle w:val="41"/>
      </w:rPr>
      <w:t>1</w:t>
    </w:r>
    <w:r>
      <w:fldChar w:fldCharType="end"/>
    </w:r>
  </w:p>
  <w:p w14:paraId="241774E6">
    <w:pPr>
      <w:pStyle w:val="23"/>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42EC9">
    <w:pPr>
      <w:pStyle w:val="23"/>
      <w:jc w:val="center"/>
      <w:rPr>
        <w:rFonts w:hint="eastAsia"/>
      </w:rPr>
    </w:pPr>
    <w:r>
      <w:fldChar w:fldCharType="begin"/>
    </w:r>
    <w:r>
      <w:instrText xml:space="preserve">PAGE   \* MERGEFORMAT</w:instrText>
    </w:r>
    <w:r>
      <w:fldChar w:fldCharType="separate"/>
    </w:r>
    <w:r>
      <w:rPr>
        <w:lang w:val="zh-CN"/>
      </w:rPr>
      <w:t>2</w:t>
    </w:r>
    <w:r>
      <w:rPr>
        <w:lang w:val="zh-CN"/>
      </w:rPr>
      <w:fldChar w:fldCharType="end"/>
    </w:r>
  </w:p>
  <w:p w14:paraId="3163A2B9">
    <w:pPr>
      <w:pStyle w:val="23"/>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64152">
    <w:pPr>
      <w:pStyle w:val="23"/>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C42B5">
    <w:pPr>
      <w:pStyle w:val="23"/>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98872">
                          <w:pPr>
                            <w:pStyle w:val="23"/>
                            <w:rPr>
                              <w:rFonts w:hint="eastAsia"/>
                            </w:rPr>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21398872">
                    <w:pPr>
                      <w:pStyle w:val="23"/>
                      <w:rPr>
                        <w:rFonts w:hint="eastAsia"/>
                      </w:rPr>
                    </w:pPr>
                    <w:r>
                      <w:fldChar w:fldCharType="begin"/>
                    </w:r>
                    <w:r>
                      <w:instrText xml:space="preserve"> PAGE  \* MERGEFORMAT </w:instrText>
                    </w:r>
                    <w:r>
                      <w:fldChar w:fldCharType="separate"/>
                    </w:r>
                    <w:r>
                      <w:t>32</w:t>
                    </w:r>
                    <w:r>
                      <w:fldChar w:fldCharType="end"/>
                    </w:r>
                  </w:p>
                </w:txbxContent>
              </v:textbox>
            </v:shape>
          </w:pict>
        </mc:Fallback>
      </mc:AlternateContent>
    </w:r>
  </w:p>
  <w:p w14:paraId="5427FBE9">
    <w:pPr>
      <w:pStyle w:val="23"/>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1B7D3">
    <w:pPr>
      <w:pStyle w:val="23"/>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DD51E7">
                          <w:pPr>
                            <w:pStyle w:val="23"/>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ADD51E7">
                    <w:pPr>
                      <w:pStyle w:val="23"/>
                      <w:rPr>
                        <w:rFonts w:hint="eastAsia"/>
                      </w:rPr>
                    </w:pPr>
                    <w:r>
                      <w:fldChar w:fldCharType="begin"/>
                    </w:r>
                    <w:r>
                      <w:instrText xml:space="preserve"> PAGE  \* MERGEFORMAT </w:instrText>
                    </w:r>
                    <w:r>
                      <w:fldChar w:fldCharType="separate"/>
                    </w:r>
                    <w:r>
                      <w:t>2</w:t>
                    </w:r>
                    <w:r>
                      <w:fldChar w:fldCharType="end"/>
                    </w:r>
                  </w:p>
                </w:txbxContent>
              </v:textbox>
            </v:shape>
          </w:pict>
        </mc:Fallback>
      </mc:AlternateContent>
    </w:r>
  </w:p>
  <w:p w14:paraId="2AE5FB36">
    <w:pPr>
      <w:pStyle w:val="23"/>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E7192">
    <w:pPr>
      <w:pStyle w:val="23"/>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46C9D7">
                          <w:pPr>
                            <w:pStyle w:val="23"/>
                            <w:rPr>
                              <w:rFonts w:hint="eastAsia"/>
                            </w:rPr>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6B46C9D7">
                    <w:pPr>
                      <w:pStyle w:val="23"/>
                      <w:rPr>
                        <w:rFonts w:hint="eastAsia"/>
                      </w:rPr>
                    </w:pPr>
                    <w:r>
                      <w:fldChar w:fldCharType="begin"/>
                    </w:r>
                    <w:r>
                      <w:instrText xml:space="preserve"> PAGE  \* MERGEFORMAT </w:instrText>
                    </w:r>
                    <w:r>
                      <w:fldChar w:fldCharType="separate"/>
                    </w:r>
                    <w:r>
                      <w:t>72</w:t>
                    </w:r>
                    <w:r>
                      <w:fldChar w:fldCharType="end"/>
                    </w:r>
                  </w:p>
                </w:txbxContent>
              </v:textbox>
            </v:shape>
          </w:pict>
        </mc:Fallback>
      </mc:AlternateContent>
    </w:r>
  </w:p>
  <w:p w14:paraId="11D7D405">
    <w:pPr>
      <w:pStyle w:val="23"/>
      <w:rPr>
        <w:rFonts w:hint="eastAsia"/>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92F76">
    <w:pPr>
      <w:pStyle w:val="24"/>
      <w:pBdr>
        <w:bottom w:val="none" w:color="auto" w:sz="0" w:space="0"/>
      </w:pBdr>
      <w:rPr>
        <w:rFonts w:hint="eastAsia"/>
        <w:sz w:val="21"/>
        <w:szCs w:val="21"/>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84A88">
    <w:pPr>
      <w:pStyle w:val="24"/>
      <w:pBdr>
        <w:bottom w:val="none" w:color="auto" w:sz="0" w:space="0"/>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9F114">
    <w:pPr>
      <w:pStyle w:val="24"/>
      <w:pBdr>
        <w:bottom w:val="none" w:color="auto" w:sz="0" w:space="0"/>
      </w:pBd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B5B8B">
    <w:pPr>
      <w:pStyle w:val="24"/>
      <w:rPr>
        <w:rFonts w:hint="eastAsia"/>
      </w:rPr>
    </w:pPr>
    <w:r>
      <w:rPr>
        <w:rFonts w:hint="eastAsia"/>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33839"/>
    <w:multiLevelType w:val="singleLevel"/>
    <w:tmpl w:val="92733839"/>
    <w:lvl w:ilvl="0" w:tentative="0">
      <w:start w:val="1"/>
      <w:numFmt w:val="decimal"/>
      <w:suff w:val="nothing"/>
      <w:lvlText w:val="%1、"/>
      <w:lvlJc w:val="left"/>
      <w:pPr>
        <w:tabs>
          <w:tab w:val="left" w:pos="0"/>
        </w:tabs>
        <w:ind w:left="0" w:firstLine="0"/>
      </w:pPr>
    </w:lvl>
  </w:abstractNum>
  <w:abstractNum w:abstractNumId="1">
    <w:nsid w:val="A581A361"/>
    <w:multiLevelType w:val="singleLevel"/>
    <w:tmpl w:val="A581A361"/>
    <w:lvl w:ilvl="0" w:tentative="0">
      <w:start w:val="2"/>
      <w:numFmt w:val="decimal"/>
      <w:suff w:val="nothing"/>
      <w:lvlText w:val="%1、"/>
      <w:lvlJc w:val="left"/>
    </w:lvl>
  </w:abstractNum>
  <w:abstractNum w:abstractNumId="2">
    <w:nsid w:val="C7E990C2"/>
    <w:multiLevelType w:val="multilevel"/>
    <w:tmpl w:val="C7E990C2"/>
    <w:lvl w:ilvl="0" w:tentative="0">
      <w:start w:val="1"/>
      <w:numFmt w:val="bullet"/>
      <w:pStyle w:val="74"/>
      <w:lvlText w:val=""/>
      <w:lvlJc w:val="left"/>
      <w:pPr>
        <w:tabs>
          <w:tab w:val="left" w:pos="0"/>
        </w:tabs>
        <w:ind w:left="1400" w:hanging="420"/>
      </w:pPr>
      <w:rPr>
        <w:rFonts w:hint="default" w:ascii="Wingdings" w:hAnsi="Wingdings"/>
      </w:rPr>
    </w:lvl>
    <w:lvl w:ilvl="1" w:tentative="0">
      <w:start w:val="1"/>
      <w:numFmt w:val="bullet"/>
      <w:lvlText w:val=""/>
      <w:lvlJc w:val="left"/>
      <w:pPr>
        <w:tabs>
          <w:tab w:val="left" w:pos="0"/>
        </w:tabs>
        <w:ind w:left="1820" w:hanging="420"/>
      </w:pPr>
      <w:rPr>
        <w:rFonts w:hint="default" w:ascii="Wingdings" w:hAnsi="Wingdings"/>
      </w:rPr>
    </w:lvl>
    <w:lvl w:ilvl="2" w:tentative="0">
      <w:start w:val="1"/>
      <w:numFmt w:val="bullet"/>
      <w:lvlText w:val=""/>
      <w:lvlJc w:val="left"/>
      <w:pPr>
        <w:tabs>
          <w:tab w:val="left" w:pos="0"/>
        </w:tabs>
        <w:ind w:left="2240" w:hanging="420"/>
      </w:pPr>
      <w:rPr>
        <w:rFonts w:hint="default" w:ascii="Wingdings" w:hAnsi="Wingdings"/>
      </w:rPr>
    </w:lvl>
    <w:lvl w:ilvl="3" w:tentative="0">
      <w:start w:val="1"/>
      <w:numFmt w:val="bullet"/>
      <w:lvlText w:val=""/>
      <w:lvlJc w:val="left"/>
      <w:pPr>
        <w:tabs>
          <w:tab w:val="left" w:pos="0"/>
        </w:tabs>
        <w:ind w:left="2660" w:hanging="420"/>
      </w:pPr>
      <w:rPr>
        <w:rFonts w:hint="default" w:ascii="Wingdings" w:hAnsi="Wingdings"/>
      </w:rPr>
    </w:lvl>
    <w:lvl w:ilvl="4" w:tentative="0">
      <w:start w:val="1"/>
      <w:numFmt w:val="bullet"/>
      <w:lvlText w:val=""/>
      <w:lvlJc w:val="left"/>
      <w:pPr>
        <w:tabs>
          <w:tab w:val="left" w:pos="0"/>
        </w:tabs>
        <w:ind w:left="3080" w:hanging="420"/>
      </w:pPr>
      <w:rPr>
        <w:rFonts w:hint="default" w:ascii="Wingdings" w:hAnsi="Wingdings"/>
      </w:rPr>
    </w:lvl>
    <w:lvl w:ilvl="5" w:tentative="0">
      <w:start w:val="1"/>
      <w:numFmt w:val="bullet"/>
      <w:lvlText w:val=""/>
      <w:lvlJc w:val="left"/>
      <w:pPr>
        <w:tabs>
          <w:tab w:val="left" w:pos="0"/>
        </w:tabs>
        <w:ind w:left="3500" w:hanging="420"/>
      </w:pPr>
      <w:rPr>
        <w:rFonts w:hint="default" w:ascii="Wingdings" w:hAnsi="Wingdings"/>
      </w:rPr>
    </w:lvl>
    <w:lvl w:ilvl="6" w:tentative="0">
      <w:start w:val="1"/>
      <w:numFmt w:val="bullet"/>
      <w:lvlText w:val=""/>
      <w:lvlJc w:val="left"/>
      <w:pPr>
        <w:tabs>
          <w:tab w:val="left" w:pos="0"/>
        </w:tabs>
        <w:ind w:left="3920" w:hanging="420"/>
      </w:pPr>
      <w:rPr>
        <w:rFonts w:hint="default" w:ascii="Wingdings" w:hAnsi="Wingdings"/>
      </w:rPr>
    </w:lvl>
    <w:lvl w:ilvl="7" w:tentative="0">
      <w:start w:val="1"/>
      <w:numFmt w:val="bullet"/>
      <w:lvlText w:val=""/>
      <w:lvlJc w:val="left"/>
      <w:pPr>
        <w:tabs>
          <w:tab w:val="left" w:pos="0"/>
        </w:tabs>
        <w:ind w:left="4340" w:hanging="420"/>
      </w:pPr>
      <w:rPr>
        <w:rFonts w:hint="default" w:ascii="Wingdings" w:hAnsi="Wingdings"/>
      </w:rPr>
    </w:lvl>
    <w:lvl w:ilvl="8" w:tentative="0">
      <w:start w:val="1"/>
      <w:numFmt w:val="bullet"/>
      <w:lvlText w:val=""/>
      <w:lvlJc w:val="left"/>
      <w:pPr>
        <w:tabs>
          <w:tab w:val="left" w:pos="0"/>
        </w:tabs>
        <w:ind w:left="4760" w:hanging="420"/>
      </w:pPr>
      <w:rPr>
        <w:rFonts w:hint="default" w:ascii="Wingdings" w:hAnsi="Wingdings"/>
      </w:rPr>
    </w:lvl>
  </w:abstractNum>
  <w:abstractNum w:abstractNumId="3">
    <w:nsid w:val="1FC332A4"/>
    <w:multiLevelType w:val="singleLevel"/>
    <w:tmpl w:val="1FC332A4"/>
    <w:lvl w:ilvl="0" w:tentative="0">
      <w:start w:val="1"/>
      <w:numFmt w:val="decimal"/>
      <w:suff w:val="nothing"/>
      <w:lvlText w:val="（%1）"/>
      <w:lvlJc w:val="left"/>
      <w:pPr>
        <w:tabs>
          <w:tab w:val="left" w:pos="0"/>
        </w:tabs>
        <w:ind w:left="0" w:firstLine="0"/>
      </w:pPr>
    </w:lvl>
  </w:abstractNum>
  <w:abstractNum w:abstractNumId="4">
    <w:nsid w:val="2E495E01"/>
    <w:multiLevelType w:val="multilevel"/>
    <w:tmpl w:val="2E495E01"/>
    <w:lvl w:ilvl="0" w:tentative="0">
      <w:start w:val="6"/>
      <w:numFmt w:val="japaneseCounting"/>
      <w:pStyle w:val="99"/>
      <w:lvlText w:val="第%1章"/>
      <w:lvlJc w:val="left"/>
      <w:pPr>
        <w:tabs>
          <w:tab w:val="left" w:pos="2595"/>
        </w:tabs>
        <w:ind w:left="2595" w:hanging="259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pStyle w:val="61"/>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2EE16E2"/>
    <w:multiLevelType w:val="multilevel"/>
    <w:tmpl w:val="32EE16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7C7B7C5"/>
    <w:multiLevelType w:val="singleLevel"/>
    <w:tmpl w:val="57C7B7C5"/>
    <w:lvl w:ilvl="0" w:tentative="0">
      <w:start w:val="1"/>
      <w:numFmt w:val="decimal"/>
      <w:suff w:val="nothing"/>
      <w:lvlText w:val="%1、"/>
      <w:lvlJc w:val="left"/>
      <w:pPr>
        <w:tabs>
          <w:tab w:val="left" w:pos="0"/>
        </w:tabs>
        <w:ind w:left="0" w:firstLine="0"/>
      </w:pPr>
    </w:lvl>
  </w:abstractNum>
  <w:abstractNum w:abstractNumId="7">
    <w:nsid w:val="65B76F3F"/>
    <w:multiLevelType w:val="multilevel"/>
    <w:tmpl w:val="65B76F3F"/>
    <w:lvl w:ilvl="0" w:tentative="0">
      <w:start w:val="1"/>
      <w:numFmt w:val="decimal"/>
      <w:pStyle w:val="72"/>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6D785621"/>
    <w:multiLevelType w:val="multilevel"/>
    <w:tmpl w:val="6D785621"/>
    <w:lvl w:ilvl="0" w:tentative="0">
      <w:start w:val="1"/>
      <w:numFmt w:val="japaneseCounting"/>
      <w:lvlText w:val="%1、"/>
      <w:lvlJc w:val="left"/>
      <w:pPr>
        <w:tabs>
          <w:tab w:val="left" w:pos="0"/>
        </w:tabs>
        <w:ind w:left="900" w:hanging="900"/>
      </w:pPr>
      <w:rPr>
        <w:rFonts w:hint="default"/>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9">
    <w:nsid w:val="6E64A5B5"/>
    <w:multiLevelType w:val="singleLevel"/>
    <w:tmpl w:val="6E64A5B5"/>
    <w:lvl w:ilvl="0" w:tentative="0">
      <w:start w:val="1"/>
      <w:numFmt w:val="bullet"/>
      <w:pStyle w:val="59"/>
      <w:lvlText w:val=""/>
      <w:lvlJc w:val="left"/>
      <w:pPr>
        <w:tabs>
          <w:tab w:val="left" w:pos="1530"/>
        </w:tabs>
        <w:ind w:left="1530" w:hanging="396"/>
      </w:pPr>
      <w:rPr>
        <w:rFonts w:hint="default" w:ascii="Symbol" w:hAnsi="Symbol"/>
        <w:sz w:val="21"/>
      </w:rPr>
    </w:lvl>
  </w:abstractNum>
  <w:num w:numId="1">
    <w:abstractNumId w:val="9"/>
  </w:num>
  <w:num w:numId="2">
    <w:abstractNumId w:val="4"/>
  </w:num>
  <w:num w:numId="3">
    <w:abstractNumId w:val="7"/>
  </w:num>
  <w:num w:numId="4">
    <w:abstractNumId w:val="2"/>
  </w:num>
  <w:num w:numId="5">
    <w:abstractNumId w:val="3"/>
  </w:num>
  <w:num w:numId="6">
    <w:abstractNumId w:val="1"/>
  </w:num>
  <w:num w:numId="7">
    <w:abstractNumId w:val="8"/>
  </w:num>
  <w:num w:numId="8">
    <w:abstractNumId w:val="6"/>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VkMTJjNzc3MzE3MWU1MWQzODUyY2Q2Zjc2NzhmYTkifQ=="/>
  </w:docVars>
  <w:rsids>
    <w:rsidRoot w:val="00C37E20"/>
    <w:rsid w:val="00002FAB"/>
    <w:rsid w:val="00027640"/>
    <w:rsid w:val="00043689"/>
    <w:rsid w:val="000452DE"/>
    <w:rsid w:val="00056C63"/>
    <w:rsid w:val="00060008"/>
    <w:rsid w:val="00066B00"/>
    <w:rsid w:val="00072EF9"/>
    <w:rsid w:val="00072FE8"/>
    <w:rsid w:val="000760E7"/>
    <w:rsid w:val="00076F06"/>
    <w:rsid w:val="00082EB5"/>
    <w:rsid w:val="00097B9A"/>
    <w:rsid w:val="000A14E2"/>
    <w:rsid w:val="000A2B77"/>
    <w:rsid w:val="000A2DA9"/>
    <w:rsid w:val="000A7158"/>
    <w:rsid w:val="000A7227"/>
    <w:rsid w:val="000B1DF1"/>
    <w:rsid w:val="000C452B"/>
    <w:rsid w:val="000C7066"/>
    <w:rsid w:val="000E1A13"/>
    <w:rsid w:val="000E45FD"/>
    <w:rsid w:val="000F38AC"/>
    <w:rsid w:val="000F7A69"/>
    <w:rsid w:val="00102F25"/>
    <w:rsid w:val="00103DD3"/>
    <w:rsid w:val="00105CBE"/>
    <w:rsid w:val="0011458B"/>
    <w:rsid w:val="0012261D"/>
    <w:rsid w:val="00126884"/>
    <w:rsid w:val="00177758"/>
    <w:rsid w:val="001833E2"/>
    <w:rsid w:val="001936F1"/>
    <w:rsid w:val="001941D7"/>
    <w:rsid w:val="001A2FAF"/>
    <w:rsid w:val="001B6607"/>
    <w:rsid w:val="001C29B9"/>
    <w:rsid w:val="001E2278"/>
    <w:rsid w:val="001E4095"/>
    <w:rsid w:val="001E4553"/>
    <w:rsid w:val="001E67DC"/>
    <w:rsid w:val="001E6E5A"/>
    <w:rsid w:val="002520EE"/>
    <w:rsid w:val="0026672E"/>
    <w:rsid w:val="002818AB"/>
    <w:rsid w:val="002A18EB"/>
    <w:rsid w:val="002B102A"/>
    <w:rsid w:val="002B5168"/>
    <w:rsid w:val="002B59E3"/>
    <w:rsid w:val="002C020C"/>
    <w:rsid w:val="002D4371"/>
    <w:rsid w:val="002D6721"/>
    <w:rsid w:val="002E0A20"/>
    <w:rsid w:val="002E0EAE"/>
    <w:rsid w:val="002E5651"/>
    <w:rsid w:val="002E7B84"/>
    <w:rsid w:val="003074FA"/>
    <w:rsid w:val="0032259F"/>
    <w:rsid w:val="003317D4"/>
    <w:rsid w:val="00335201"/>
    <w:rsid w:val="0034468A"/>
    <w:rsid w:val="00353018"/>
    <w:rsid w:val="003625CF"/>
    <w:rsid w:val="00367A03"/>
    <w:rsid w:val="003802BD"/>
    <w:rsid w:val="00397626"/>
    <w:rsid w:val="003B6180"/>
    <w:rsid w:val="003C04C8"/>
    <w:rsid w:val="003D061D"/>
    <w:rsid w:val="003F0008"/>
    <w:rsid w:val="003F6FD7"/>
    <w:rsid w:val="00403958"/>
    <w:rsid w:val="00407753"/>
    <w:rsid w:val="00411285"/>
    <w:rsid w:val="00413684"/>
    <w:rsid w:val="0041469C"/>
    <w:rsid w:val="00415859"/>
    <w:rsid w:val="00435E13"/>
    <w:rsid w:val="00436648"/>
    <w:rsid w:val="0044722F"/>
    <w:rsid w:val="004518CC"/>
    <w:rsid w:val="00471320"/>
    <w:rsid w:val="004714E9"/>
    <w:rsid w:val="00473416"/>
    <w:rsid w:val="00485233"/>
    <w:rsid w:val="00497D9F"/>
    <w:rsid w:val="004A132D"/>
    <w:rsid w:val="004D1B6B"/>
    <w:rsid w:val="004E2079"/>
    <w:rsid w:val="004F344A"/>
    <w:rsid w:val="0050240D"/>
    <w:rsid w:val="00535EE7"/>
    <w:rsid w:val="00542CDC"/>
    <w:rsid w:val="00546E7C"/>
    <w:rsid w:val="0055033D"/>
    <w:rsid w:val="00551720"/>
    <w:rsid w:val="0056735E"/>
    <w:rsid w:val="00570195"/>
    <w:rsid w:val="00570BBD"/>
    <w:rsid w:val="00575F25"/>
    <w:rsid w:val="00597839"/>
    <w:rsid w:val="005B431B"/>
    <w:rsid w:val="005C0CF1"/>
    <w:rsid w:val="005C0E57"/>
    <w:rsid w:val="005D5376"/>
    <w:rsid w:val="005E49F7"/>
    <w:rsid w:val="005E6515"/>
    <w:rsid w:val="005E6FC6"/>
    <w:rsid w:val="005F0118"/>
    <w:rsid w:val="005F18B4"/>
    <w:rsid w:val="006026CF"/>
    <w:rsid w:val="00607DAE"/>
    <w:rsid w:val="006209F3"/>
    <w:rsid w:val="006312A3"/>
    <w:rsid w:val="0064366A"/>
    <w:rsid w:val="00643ADB"/>
    <w:rsid w:val="006458AC"/>
    <w:rsid w:val="0065642F"/>
    <w:rsid w:val="0065794E"/>
    <w:rsid w:val="0067501A"/>
    <w:rsid w:val="00675F51"/>
    <w:rsid w:val="00691518"/>
    <w:rsid w:val="006954D8"/>
    <w:rsid w:val="00696656"/>
    <w:rsid w:val="006A3585"/>
    <w:rsid w:val="006A4CFA"/>
    <w:rsid w:val="006B6B2C"/>
    <w:rsid w:val="006D0C89"/>
    <w:rsid w:val="006D1CE6"/>
    <w:rsid w:val="006D1D0A"/>
    <w:rsid w:val="006F4023"/>
    <w:rsid w:val="00715FCC"/>
    <w:rsid w:val="00723593"/>
    <w:rsid w:val="00723AC8"/>
    <w:rsid w:val="007247DF"/>
    <w:rsid w:val="00755EA4"/>
    <w:rsid w:val="0076536D"/>
    <w:rsid w:val="0077297D"/>
    <w:rsid w:val="00772FAD"/>
    <w:rsid w:val="00776717"/>
    <w:rsid w:val="00782527"/>
    <w:rsid w:val="00796609"/>
    <w:rsid w:val="007A01A9"/>
    <w:rsid w:val="007A06FA"/>
    <w:rsid w:val="007B2393"/>
    <w:rsid w:val="007C76E6"/>
    <w:rsid w:val="007D4E95"/>
    <w:rsid w:val="007E0586"/>
    <w:rsid w:val="007E0A2C"/>
    <w:rsid w:val="00840752"/>
    <w:rsid w:val="008553D3"/>
    <w:rsid w:val="00855972"/>
    <w:rsid w:val="00896CB0"/>
    <w:rsid w:val="00897D71"/>
    <w:rsid w:val="008A3A45"/>
    <w:rsid w:val="008C0B67"/>
    <w:rsid w:val="008C3667"/>
    <w:rsid w:val="008D3F42"/>
    <w:rsid w:val="008D6D14"/>
    <w:rsid w:val="008E05F3"/>
    <w:rsid w:val="008F668F"/>
    <w:rsid w:val="0090039E"/>
    <w:rsid w:val="00903280"/>
    <w:rsid w:val="009157A5"/>
    <w:rsid w:val="00923535"/>
    <w:rsid w:val="00923701"/>
    <w:rsid w:val="009251CE"/>
    <w:rsid w:val="009330B7"/>
    <w:rsid w:val="00947244"/>
    <w:rsid w:val="00963337"/>
    <w:rsid w:val="009776DB"/>
    <w:rsid w:val="00995D85"/>
    <w:rsid w:val="009973A1"/>
    <w:rsid w:val="009A37B9"/>
    <w:rsid w:val="009A4C33"/>
    <w:rsid w:val="009B0804"/>
    <w:rsid w:val="009D3C89"/>
    <w:rsid w:val="009D6FC5"/>
    <w:rsid w:val="009D7E7B"/>
    <w:rsid w:val="009E458A"/>
    <w:rsid w:val="009E6783"/>
    <w:rsid w:val="00A113A7"/>
    <w:rsid w:val="00A13DC9"/>
    <w:rsid w:val="00A30D93"/>
    <w:rsid w:val="00A326E1"/>
    <w:rsid w:val="00A45FFC"/>
    <w:rsid w:val="00A507E7"/>
    <w:rsid w:val="00A5097C"/>
    <w:rsid w:val="00A66691"/>
    <w:rsid w:val="00A97CFA"/>
    <w:rsid w:val="00AC0FCB"/>
    <w:rsid w:val="00AF5CDF"/>
    <w:rsid w:val="00B03FAC"/>
    <w:rsid w:val="00B0749D"/>
    <w:rsid w:val="00B104C8"/>
    <w:rsid w:val="00B42D5B"/>
    <w:rsid w:val="00B46FD5"/>
    <w:rsid w:val="00B71DC0"/>
    <w:rsid w:val="00B805CD"/>
    <w:rsid w:val="00BA3F0C"/>
    <w:rsid w:val="00BB0561"/>
    <w:rsid w:val="00BB5FE1"/>
    <w:rsid w:val="00BB753E"/>
    <w:rsid w:val="00BC6659"/>
    <w:rsid w:val="00BD522B"/>
    <w:rsid w:val="00BF61F9"/>
    <w:rsid w:val="00C067D8"/>
    <w:rsid w:val="00C304D3"/>
    <w:rsid w:val="00C37E20"/>
    <w:rsid w:val="00C56385"/>
    <w:rsid w:val="00C639C7"/>
    <w:rsid w:val="00C66E34"/>
    <w:rsid w:val="00C70418"/>
    <w:rsid w:val="00C80D44"/>
    <w:rsid w:val="00C80E77"/>
    <w:rsid w:val="00CA107C"/>
    <w:rsid w:val="00CA7019"/>
    <w:rsid w:val="00CC014E"/>
    <w:rsid w:val="00CC2703"/>
    <w:rsid w:val="00CD1E8C"/>
    <w:rsid w:val="00CE2601"/>
    <w:rsid w:val="00CE5A2E"/>
    <w:rsid w:val="00D04EA2"/>
    <w:rsid w:val="00D060D3"/>
    <w:rsid w:val="00D069B7"/>
    <w:rsid w:val="00D22116"/>
    <w:rsid w:val="00D247A2"/>
    <w:rsid w:val="00D62C6F"/>
    <w:rsid w:val="00D81446"/>
    <w:rsid w:val="00D821AA"/>
    <w:rsid w:val="00D85E6F"/>
    <w:rsid w:val="00D87371"/>
    <w:rsid w:val="00D90047"/>
    <w:rsid w:val="00D914D2"/>
    <w:rsid w:val="00DA2CA2"/>
    <w:rsid w:val="00DA5498"/>
    <w:rsid w:val="00DB317B"/>
    <w:rsid w:val="00DB5CB9"/>
    <w:rsid w:val="00DC13EE"/>
    <w:rsid w:val="00DC28E6"/>
    <w:rsid w:val="00DC40E6"/>
    <w:rsid w:val="00DD11E4"/>
    <w:rsid w:val="00DE76E0"/>
    <w:rsid w:val="00DF06CF"/>
    <w:rsid w:val="00DF08B1"/>
    <w:rsid w:val="00E04FAC"/>
    <w:rsid w:val="00E22EB2"/>
    <w:rsid w:val="00E2798D"/>
    <w:rsid w:val="00E37109"/>
    <w:rsid w:val="00E52270"/>
    <w:rsid w:val="00E8780D"/>
    <w:rsid w:val="00E907C1"/>
    <w:rsid w:val="00EA1CA0"/>
    <w:rsid w:val="00EA299C"/>
    <w:rsid w:val="00EA36B7"/>
    <w:rsid w:val="00EC5B1E"/>
    <w:rsid w:val="00EF05B0"/>
    <w:rsid w:val="00EF273C"/>
    <w:rsid w:val="00F26606"/>
    <w:rsid w:val="00F31CE6"/>
    <w:rsid w:val="00F3214C"/>
    <w:rsid w:val="00F370F1"/>
    <w:rsid w:val="00F55C26"/>
    <w:rsid w:val="00F64B73"/>
    <w:rsid w:val="00F76D9D"/>
    <w:rsid w:val="00F85832"/>
    <w:rsid w:val="00F86C23"/>
    <w:rsid w:val="00F97D0B"/>
    <w:rsid w:val="00FA5C56"/>
    <w:rsid w:val="00FB08E6"/>
    <w:rsid w:val="00FB53CB"/>
    <w:rsid w:val="00FC466C"/>
    <w:rsid w:val="00FD05CB"/>
    <w:rsid w:val="00FD1239"/>
    <w:rsid w:val="00FD601C"/>
    <w:rsid w:val="00FE3299"/>
    <w:rsid w:val="00FE4B01"/>
    <w:rsid w:val="00FE53BD"/>
    <w:rsid w:val="02023C74"/>
    <w:rsid w:val="02A81A28"/>
    <w:rsid w:val="02AE1145"/>
    <w:rsid w:val="02FC416F"/>
    <w:rsid w:val="03383C1A"/>
    <w:rsid w:val="03E96FE8"/>
    <w:rsid w:val="040D11E4"/>
    <w:rsid w:val="041219A4"/>
    <w:rsid w:val="04D74983"/>
    <w:rsid w:val="0538648D"/>
    <w:rsid w:val="05393890"/>
    <w:rsid w:val="05644C43"/>
    <w:rsid w:val="05A011AD"/>
    <w:rsid w:val="06061582"/>
    <w:rsid w:val="067F061D"/>
    <w:rsid w:val="074B3407"/>
    <w:rsid w:val="074E3D1B"/>
    <w:rsid w:val="086F46D6"/>
    <w:rsid w:val="08955B05"/>
    <w:rsid w:val="08B651F8"/>
    <w:rsid w:val="0A6A44EC"/>
    <w:rsid w:val="0A9C3AA2"/>
    <w:rsid w:val="0AA90B70"/>
    <w:rsid w:val="0B4200F8"/>
    <w:rsid w:val="0B787C2B"/>
    <w:rsid w:val="0C1604FF"/>
    <w:rsid w:val="0C3D7288"/>
    <w:rsid w:val="0C3F7E0B"/>
    <w:rsid w:val="0C632FA1"/>
    <w:rsid w:val="0C76666E"/>
    <w:rsid w:val="0C8F10F1"/>
    <w:rsid w:val="0CD8398F"/>
    <w:rsid w:val="0D43254F"/>
    <w:rsid w:val="0D8238FA"/>
    <w:rsid w:val="0E086BDA"/>
    <w:rsid w:val="0E8869B0"/>
    <w:rsid w:val="0F2F42DD"/>
    <w:rsid w:val="0F3011F1"/>
    <w:rsid w:val="0F4B4D62"/>
    <w:rsid w:val="0F612937"/>
    <w:rsid w:val="0F9DEB2B"/>
    <w:rsid w:val="10450B18"/>
    <w:rsid w:val="10D02549"/>
    <w:rsid w:val="10E17C1E"/>
    <w:rsid w:val="111176EB"/>
    <w:rsid w:val="11146E25"/>
    <w:rsid w:val="11791AF8"/>
    <w:rsid w:val="11DA1F57"/>
    <w:rsid w:val="12102CCE"/>
    <w:rsid w:val="122E764D"/>
    <w:rsid w:val="127109AD"/>
    <w:rsid w:val="1283219F"/>
    <w:rsid w:val="12BF474E"/>
    <w:rsid w:val="132E6C71"/>
    <w:rsid w:val="135A344C"/>
    <w:rsid w:val="13A866A6"/>
    <w:rsid w:val="14210287"/>
    <w:rsid w:val="142B0848"/>
    <w:rsid w:val="144B565A"/>
    <w:rsid w:val="145F04F1"/>
    <w:rsid w:val="14D7452C"/>
    <w:rsid w:val="15003A82"/>
    <w:rsid w:val="16666B8E"/>
    <w:rsid w:val="167504A0"/>
    <w:rsid w:val="167A48D9"/>
    <w:rsid w:val="16A10C0C"/>
    <w:rsid w:val="16D76A65"/>
    <w:rsid w:val="17166D66"/>
    <w:rsid w:val="172A1411"/>
    <w:rsid w:val="17977FBA"/>
    <w:rsid w:val="17D4444C"/>
    <w:rsid w:val="188956BF"/>
    <w:rsid w:val="188A3857"/>
    <w:rsid w:val="18CE7773"/>
    <w:rsid w:val="19AB5E20"/>
    <w:rsid w:val="19EA1258"/>
    <w:rsid w:val="1A687EF8"/>
    <w:rsid w:val="1A6A34E8"/>
    <w:rsid w:val="1A822A1A"/>
    <w:rsid w:val="1B162CBE"/>
    <w:rsid w:val="1B3E04B1"/>
    <w:rsid w:val="1B5E5877"/>
    <w:rsid w:val="1B694D12"/>
    <w:rsid w:val="1B7066F9"/>
    <w:rsid w:val="1BE82F3C"/>
    <w:rsid w:val="1BF239FD"/>
    <w:rsid w:val="1CA5324B"/>
    <w:rsid w:val="1CAA738F"/>
    <w:rsid w:val="1CC6490D"/>
    <w:rsid w:val="1CCE195E"/>
    <w:rsid w:val="1CE548D4"/>
    <w:rsid w:val="1D810E86"/>
    <w:rsid w:val="1D8D19F1"/>
    <w:rsid w:val="1DA370AE"/>
    <w:rsid w:val="1E320A25"/>
    <w:rsid w:val="1E4C1AE7"/>
    <w:rsid w:val="204048D0"/>
    <w:rsid w:val="20971013"/>
    <w:rsid w:val="209B6D55"/>
    <w:rsid w:val="20C77CA5"/>
    <w:rsid w:val="21914E05"/>
    <w:rsid w:val="226E0C23"/>
    <w:rsid w:val="2284766D"/>
    <w:rsid w:val="22B33278"/>
    <w:rsid w:val="235002CB"/>
    <w:rsid w:val="23832A3D"/>
    <w:rsid w:val="23BA4EB1"/>
    <w:rsid w:val="24402DE0"/>
    <w:rsid w:val="250727F5"/>
    <w:rsid w:val="25202663"/>
    <w:rsid w:val="252214A4"/>
    <w:rsid w:val="25652ECB"/>
    <w:rsid w:val="25B17297"/>
    <w:rsid w:val="25BD7740"/>
    <w:rsid w:val="26C20111"/>
    <w:rsid w:val="26F55F42"/>
    <w:rsid w:val="278E4CAB"/>
    <w:rsid w:val="27930786"/>
    <w:rsid w:val="281A3EBC"/>
    <w:rsid w:val="282E3DB4"/>
    <w:rsid w:val="28425D08"/>
    <w:rsid w:val="28442545"/>
    <w:rsid w:val="29970B60"/>
    <w:rsid w:val="29F80D74"/>
    <w:rsid w:val="29FA7002"/>
    <w:rsid w:val="2A0768A0"/>
    <w:rsid w:val="2A114B09"/>
    <w:rsid w:val="2AC72339"/>
    <w:rsid w:val="2B94384E"/>
    <w:rsid w:val="2BC929C8"/>
    <w:rsid w:val="2BCD2C50"/>
    <w:rsid w:val="2BE79187"/>
    <w:rsid w:val="2C27527F"/>
    <w:rsid w:val="2C714E0E"/>
    <w:rsid w:val="2C7F752B"/>
    <w:rsid w:val="2D585E06"/>
    <w:rsid w:val="2DC967EA"/>
    <w:rsid w:val="2F130AEE"/>
    <w:rsid w:val="2F291CC5"/>
    <w:rsid w:val="2F386C31"/>
    <w:rsid w:val="2F9D2B83"/>
    <w:rsid w:val="2FA65F00"/>
    <w:rsid w:val="2FDB53C0"/>
    <w:rsid w:val="300500B6"/>
    <w:rsid w:val="30696528"/>
    <w:rsid w:val="30BB71A6"/>
    <w:rsid w:val="30C748CF"/>
    <w:rsid w:val="312D5548"/>
    <w:rsid w:val="320A1DA0"/>
    <w:rsid w:val="333A573C"/>
    <w:rsid w:val="33DB4EF7"/>
    <w:rsid w:val="33F32E8F"/>
    <w:rsid w:val="342471DC"/>
    <w:rsid w:val="34A71566"/>
    <w:rsid w:val="34E85C17"/>
    <w:rsid w:val="35066A3B"/>
    <w:rsid w:val="350E3B42"/>
    <w:rsid w:val="35246EC1"/>
    <w:rsid w:val="35906EDE"/>
    <w:rsid w:val="35A818A1"/>
    <w:rsid w:val="35BD6E93"/>
    <w:rsid w:val="367C4ADB"/>
    <w:rsid w:val="36AA40F6"/>
    <w:rsid w:val="37626FA0"/>
    <w:rsid w:val="37891EF5"/>
    <w:rsid w:val="381C0324"/>
    <w:rsid w:val="382847FB"/>
    <w:rsid w:val="38417D8A"/>
    <w:rsid w:val="38940768"/>
    <w:rsid w:val="38D5188A"/>
    <w:rsid w:val="38E2156D"/>
    <w:rsid w:val="39523CC6"/>
    <w:rsid w:val="39730C42"/>
    <w:rsid w:val="39875C71"/>
    <w:rsid w:val="39B80CEA"/>
    <w:rsid w:val="39C94323"/>
    <w:rsid w:val="3AB931A5"/>
    <w:rsid w:val="3B3A0AAF"/>
    <w:rsid w:val="3B474BAA"/>
    <w:rsid w:val="3B5D61D2"/>
    <w:rsid w:val="3BB371F1"/>
    <w:rsid w:val="3C37397E"/>
    <w:rsid w:val="3C3A4825"/>
    <w:rsid w:val="3C3E4F9D"/>
    <w:rsid w:val="3C5C5E44"/>
    <w:rsid w:val="3C85293C"/>
    <w:rsid w:val="3CA41D37"/>
    <w:rsid w:val="3CE56E89"/>
    <w:rsid w:val="3D154165"/>
    <w:rsid w:val="3D15512D"/>
    <w:rsid w:val="3D69400B"/>
    <w:rsid w:val="3DC304E6"/>
    <w:rsid w:val="3E50555D"/>
    <w:rsid w:val="3EAA2B0D"/>
    <w:rsid w:val="3EDB2CE7"/>
    <w:rsid w:val="3EE8228E"/>
    <w:rsid w:val="3F3A5F6D"/>
    <w:rsid w:val="3F425A4C"/>
    <w:rsid w:val="3F4E2E03"/>
    <w:rsid w:val="400D5812"/>
    <w:rsid w:val="40761745"/>
    <w:rsid w:val="40BE641C"/>
    <w:rsid w:val="40D14C25"/>
    <w:rsid w:val="40DB081E"/>
    <w:rsid w:val="40F92339"/>
    <w:rsid w:val="4214206C"/>
    <w:rsid w:val="425952F2"/>
    <w:rsid w:val="427016BB"/>
    <w:rsid w:val="42FB2F99"/>
    <w:rsid w:val="435C4CE6"/>
    <w:rsid w:val="43830B70"/>
    <w:rsid w:val="43F44AF4"/>
    <w:rsid w:val="44614178"/>
    <w:rsid w:val="44CD2C66"/>
    <w:rsid w:val="44EA5DEA"/>
    <w:rsid w:val="45171652"/>
    <w:rsid w:val="45CF09A2"/>
    <w:rsid w:val="45DA18CD"/>
    <w:rsid w:val="467E7F18"/>
    <w:rsid w:val="468958F7"/>
    <w:rsid w:val="46DD4030"/>
    <w:rsid w:val="473311E6"/>
    <w:rsid w:val="47B2035D"/>
    <w:rsid w:val="47BD4D26"/>
    <w:rsid w:val="47CD1C44"/>
    <w:rsid w:val="481C1152"/>
    <w:rsid w:val="482536F5"/>
    <w:rsid w:val="488B64E5"/>
    <w:rsid w:val="499C12C5"/>
    <w:rsid w:val="4A2C7559"/>
    <w:rsid w:val="4A3B7B4B"/>
    <w:rsid w:val="4A4216BF"/>
    <w:rsid w:val="4A4674A0"/>
    <w:rsid w:val="4A6467D3"/>
    <w:rsid w:val="4A72691C"/>
    <w:rsid w:val="4A951848"/>
    <w:rsid w:val="4B083A59"/>
    <w:rsid w:val="4B1F39CA"/>
    <w:rsid w:val="4B2C0426"/>
    <w:rsid w:val="4B6800DB"/>
    <w:rsid w:val="4B884439"/>
    <w:rsid w:val="4C272916"/>
    <w:rsid w:val="4C6D356B"/>
    <w:rsid w:val="4C8940BC"/>
    <w:rsid w:val="4CA76328"/>
    <w:rsid w:val="4CDE628F"/>
    <w:rsid w:val="4D3F2693"/>
    <w:rsid w:val="4D8D2129"/>
    <w:rsid w:val="4DF369DC"/>
    <w:rsid w:val="4ECC70F2"/>
    <w:rsid w:val="4EF439EB"/>
    <w:rsid w:val="4F317CAE"/>
    <w:rsid w:val="4F363F69"/>
    <w:rsid w:val="4F49260F"/>
    <w:rsid w:val="4F4D5BA9"/>
    <w:rsid w:val="4FDA3B57"/>
    <w:rsid w:val="502C6AF9"/>
    <w:rsid w:val="50863861"/>
    <w:rsid w:val="509D07FB"/>
    <w:rsid w:val="50EA3712"/>
    <w:rsid w:val="515D57DD"/>
    <w:rsid w:val="51776456"/>
    <w:rsid w:val="517E6C8A"/>
    <w:rsid w:val="51BC0756"/>
    <w:rsid w:val="51CB2C2A"/>
    <w:rsid w:val="528C45CC"/>
    <w:rsid w:val="531F20BE"/>
    <w:rsid w:val="5352092F"/>
    <w:rsid w:val="535D3EE9"/>
    <w:rsid w:val="538559E1"/>
    <w:rsid w:val="538D57A8"/>
    <w:rsid w:val="53B92DBE"/>
    <w:rsid w:val="53DC5ACA"/>
    <w:rsid w:val="54342DD6"/>
    <w:rsid w:val="54404D8A"/>
    <w:rsid w:val="55161870"/>
    <w:rsid w:val="55400F99"/>
    <w:rsid w:val="55665965"/>
    <w:rsid w:val="55706EDF"/>
    <w:rsid w:val="55C107E5"/>
    <w:rsid w:val="55C34030"/>
    <w:rsid w:val="55FD7E1B"/>
    <w:rsid w:val="560E3709"/>
    <w:rsid w:val="564460F6"/>
    <w:rsid w:val="56921FA7"/>
    <w:rsid w:val="56945B1C"/>
    <w:rsid w:val="56C579D0"/>
    <w:rsid w:val="5710667C"/>
    <w:rsid w:val="575A5D92"/>
    <w:rsid w:val="579660E9"/>
    <w:rsid w:val="57D37CC7"/>
    <w:rsid w:val="57D67571"/>
    <w:rsid w:val="5851771E"/>
    <w:rsid w:val="587602FF"/>
    <w:rsid w:val="587862E0"/>
    <w:rsid w:val="587C530B"/>
    <w:rsid w:val="58EC5163"/>
    <w:rsid w:val="58F57439"/>
    <w:rsid w:val="594B507A"/>
    <w:rsid w:val="5970263C"/>
    <w:rsid w:val="59B212B6"/>
    <w:rsid w:val="59CC30EE"/>
    <w:rsid w:val="5A052B6A"/>
    <w:rsid w:val="5A113609"/>
    <w:rsid w:val="5AD63D79"/>
    <w:rsid w:val="5AE6512A"/>
    <w:rsid w:val="5B3F7BDF"/>
    <w:rsid w:val="5B745FBA"/>
    <w:rsid w:val="5B8F4D37"/>
    <w:rsid w:val="5C4878BD"/>
    <w:rsid w:val="5CFF1E3E"/>
    <w:rsid w:val="5E2F5E90"/>
    <w:rsid w:val="5E3C4BB8"/>
    <w:rsid w:val="5E523BE1"/>
    <w:rsid w:val="5E705A5F"/>
    <w:rsid w:val="5EB84053"/>
    <w:rsid w:val="5EBA4A07"/>
    <w:rsid w:val="5EEF3918"/>
    <w:rsid w:val="5F557888"/>
    <w:rsid w:val="602E06A4"/>
    <w:rsid w:val="60CF2D61"/>
    <w:rsid w:val="60D96503"/>
    <w:rsid w:val="60EE1EF0"/>
    <w:rsid w:val="61045825"/>
    <w:rsid w:val="613D15E2"/>
    <w:rsid w:val="618004AF"/>
    <w:rsid w:val="61F2765A"/>
    <w:rsid w:val="61F81EBA"/>
    <w:rsid w:val="621831A7"/>
    <w:rsid w:val="623A04FC"/>
    <w:rsid w:val="62AD35C5"/>
    <w:rsid w:val="62C42ED0"/>
    <w:rsid w:val="630B477D"/>
    <w:rsid w:val="637D586B"/>
    <w:rsid w:val="63950BE4"/>
    <w:rsid w:val="63A365D0"/>
    <w:rsid w:val="63AB2556"/>
    <w:rsid w:val="63E12430"/>
    <w:rsid w:val="648A7ABB"/>
    <w:rsid w:val="64A535CD"/>
    <w:rsid w:val="64EF4547"/>
    <w:rsid w:val="65EC0A86"/>
    <w:rsid w:val="65F02088"/>
    <w:rsid w:val="665C2C06"/>
    <w:rsid w:val="66666EA5"/>
    <w:rsid w:val="66EC6F90"/>
    <w:rsid w:val="67380427"/>
    <w:rsid w:val="6759039D"/>
    <w:rsid w:val="677D2A7C"/>
    <w:rsid w:val="67C47A60"/>
    <w:rsid w:val="6834191B"/>
    <w:rsid w:val="68666E0A"/>
    <w:rsid w:val="68B0223F"/>
    <w:rsid w:val="692C3A5A"/>
    <w:rsid w:val="69566771"/>
    <w:rsid w:val="69A41C0D"/>
    <w:rsid w:val="69A93D8A"/>
    <w:rsid w:val="6B0B3C19"/>
    <w:rsid w:val="6B68327F"/>
    <w:rsid w:val="6B904102"/>
    <w:rsid w:val="6BB11BC0"/>
    <w:rsid w:val="6C486A54"/>
    <w:rsid w:val="6C4A2CAD"/>
    <w:rsid w:val="6C976217"/>
    <w:rsid w:val="6CD669E5"/>
    <w:rsid w:val="6D403ECB"/>
    <w:rsid w:val="6E49068E"/>
    <w:rsid w:val="6E5D7B77"/>
    <w:rsid w:val="6F2E1F60"/>
    <w:rsid w:val="6F72024E"/>
    <w:rsid w:val="6FAC0C26"/>
    <w:rsid w:val="6FB012D9"/>
    <w:rsid w:val="6FE57346"/>
    <w:rsid w:val="700215D2"/>
    <w:rsid w:val="701D145C"/>
    <w:rsid w:val="70EB537F"/>
    <w:rsid w:val="71EC56C0"/>
    <w:rsid w:val="72137899"/>
    <w:rsid w:val="72555A96"/>
    <w:rsid w:val="726449BB"/>
    <w:rsid w:val="72F52CEB"/>
    <w:rsid w:val="734F280B"/>
    <w:rsid w:val="736C5253"/>
    <w:rsid w:val="75160766"/>
    <w:rsid w:val="75177862"/>
    <w:rsid w:val="752B79C4"/>
    <w:rsid w:val="75403D09"/>
    <w:rsid w:val="75666769"/>
    <w:rsid w:val="75C577FC"/>
    <w:rsid w:val="760B41A4"/>
    <w:rsid w:val="76DA32A9"/>
    <w:rsid w:val="77090210"/>
    <w:rsid w:val="775B17EA"/>
    <w:rsid w:val="77CF26E1"/>
    <w:rsid w:val="783363DF"/>
    <w:rsid w:val="78921315"/>
    <w:rsid w:val="78BB0CEA"/>
    <w:rsid w:val="79685E21"/>
    <w:rsid w:val="79883003"/>
    <w:rsid w:val="79E36020"/>
    <w:rsid w:val="7A281E93"/>
    <w:rsid w:val="7A3D51BE"/>
    <w:rsid w:val="7AB02416"/>
    <w:rsid w:val="7ADB5BFA"/>
    <w:rsid w:val="7AF87509"/>
    <w:rsid w:val="7B007911"/>
    <w:rsid w:val="7BC736D0"/>
    <w:rsid w:val="7BF6EDE6"/>
    <w:rsid w:val="7CFB440A"/>
    <w:rsid w:val="7D430B86"/>
    <w:rsid w:val="7DA243F4"/>
    <w:rsid w:val="7DBB6113"/>
    <w:rsid w:val="7E3C2E0D"/>
    <w:rsid w:val="7E9F240E"/>
    <w:rsid w:val="7EA01C23"/>
    <w:rsid w:val="7F711F76"/>
    <w:rsid w:val="7F9A6035"/>
    <w:rsid w:val="BDBFC328"/>
    <w:rsid w:val="DF7C1C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nhideWhenUsed="0" w:uiPriority="0" w:semiHidden="0"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88"/>
    <w:qFormat/>
    <w:uiPriority w:val="0"/>
    <w:pPr>
      <w:keepNext/>
      <w:keepLines/>
      <w:spacing w:before="120" w:after="120"/>
      <w:jc w:val="center"/>
      <w:outlineLvl w:val="0"/>
    </w:pPr>
    <w:rPr>
      <w:b/>
      <w:spacing w:val="20"/>
      <w:kern w:val="44"/>
      <w:sz w:val="32"/>
      <w:szCs w:val="20"/>
    </w:rPr>
  </w:style>
  <w:style w:type="paragraph" w:styleId="3">
    <w:name w:val="heading 2"/>
    <w:basedOn w:val="1"/>
    <w:next w:val="1"/>
    <w:link w:val="136"/>
    <w:unhideWhenUsed/>
    <w:qFormat/>
    <w:uiPriority w:val="0"/>
    <w:pPr>
      <w:keepNext/>
      <w:keepLines/>
      <w:spacing w:line="400" w:lineRule="exact"/>
      <w:jc w:val="center"/>
      <w:outlineLvl w:val="1"/>
    </w:pPr>
    <w:rPr>
      <w:rFonts w:ascii="Arial" w:hAnsi="Arial"/>
      <w:b/>
      <w:sz w:val="30"/>
      <w:szCs w:val="20"/>
    </w:rPr>
  </w:style>
  <w:style w:type="paragraph" w:styleId="4">
    <w:name w:val="heading 3"/>
    <w:basedOn w:val="1"/>
    <w:next w:val="1"/>
    <w:unhideWhenUsed/>
    <w:qFormat/>
    <w:uiPriority w:val="0"/>
    <w:pPr>
      <w:keepNext/>
      <w:keepLines/>
      <w:spacing w:before="60" w:after="60" w:line="500" w:lineRule="exact"/>
      <w:ind w:firstLine="510"/>
      <w:outlineLvl w:val="2"/>
    </w:pPr>
    <w:rPr>
      <w:b/>
      <w:szCs w:val="20"/>
    </w:rPr>
  </w:style>
  <w:style w:type="paragraph" w:styleId="5">
    <w:name w:val="heading 4"/>
    <w:basedOn w:val="1"/>
    <w:next w:val="1"/>
    <w:unhideWhenUsed/>
    <w:qFormat/>
    <w:uiPriority w:val="0"/>
    <w:pPr>
      <w:keepNext/>
      <w:outlineLvl w:val="3"/>
    </w:pPr>
    <w:rPr>
      <w:b/>
      <w:bCs/>
      <w:sz w:val="28"/>
      <w:szCs w:val="20"/>
    </w:rPr>
  </w:style>
  <w:style w:type="paragraph" w:styleId="6">
    <w:name w:val="heading 5"/>
    <w:basedOn w:val="1"/>
    <w:next w:val="1"/>
    <w:unhideWhenUsed/>
    <w:qFormat/>
    <w:uiPriority w:val="0"/>
    <w:pPr>
      <w:keepNext/>
      <w:keepLines/>
      <w:spacing w:before="280" w:after="290" w:line="377" w:lineRule="auto"/>
      <w:outlineLvl w:val="4"/>
    </w:pPr>
    <w:rPr>
      <w:b/>
      <w:bCs/>
      <w:sz w:val="28"/>
      <w:szCs w:val="28"/>
    </w:rPr>
  </w:style>
  <w:style w:type="paragraph" w:styleId="7">
    <w:name w:val="heading 6"/>
    <w:basedOn w:val="1"/>
    <w:next w:val="1"/>
    <w:unhideWhenUsed/>
    <w:qFormat/>
    <w:uiPriority w:val="0"/>
    <w:pPr>
      <w:keepNext/>
      <w:keepLines/>
      <w:spacing w:before="240" w:after="64" w:line="319" w:lineRule="auto"/>
      <w:outlineLvl w:val="5"/>
    </w:pPr>
    <w:rPr>
      <w:rFonts w:ascii="Arial" w:hAnsi="Arial" w:eastAsia="黑体"/>
      <w:b/>
      <w:bCs/>
    </w:rPr>
  </w:style>
  <w:style w:type="paragraph" w:styleId="8">
    <w:name w:val="heading 7"/>
    <w:basedOn w:val="1"/>
    <w:next w:val="1"/>
    <w:qFormat/>
    <w:uiPriority w:val="0"/>
    <w:pPr>
      <w:keepNext/>
      <w:keepLines/>
      <w:spacing w:before="240" w:after="64" w:line="320" w:lineRule="auto"/>
      <w:outlineLvl w:val="6"/>
    </w:pPr>
    <w:rPr>
      <w:rFonts w:ascii="Calibri" w:hAnsi="Calibri"/>
      <w:b/>
      <w:bCs/>
    </w:rPr>
  </w:style>
  <w:style w:type="paragraph" w:styleId="9">
    <w:name w:val="heading 8"/>
    <w:basedOn w:val="1"/>
    <w:next w:val="1"/>
    <w:qFormat/>
    <w:uiPriority w:val="0"/>
    <w:pPr>
      <w:keepNext/>
      <w:keepLines/>
      <w:spacing w:before="240" w:after="64" w:line="319" w:lineRule="auto"/>
      <w:outlineLvl w:val="7"/>
    </w:pPr>
    <w:rPr>
      <w:rFonts w:ascii="等线 Light" w:eastAsia="等线 Light"/>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0">
    <w:name w:val="table of authorities"/>
    <w:basedOn w:val="1"/>
    <w:next w:val="1"/>
    <w:semiHidden/>
    <w:unhideWhenUsed/>
    <w:qFormat/>
    <w:uiPriority w:val="99"/>
    <w:pPr>
      <w:ind w:left="420" w:leftChars="200"/>
    </w:pPr>
  </w:style>
  <w:style w:type="paragraph" w:styleId="11">
    <w:name w:val="Normal Indent"/>
    <w:basedOn w:val="1"/>
    <w:link w:val="137"/>
    <w:qFormat/>
    <w:uiPriority w:val="0"/>
    <w:pPr>
      <w:ind w:firstLine="420"/>
    </w:pPr>
    <w:rPr>
      <w:szCs w:val="20"/>
    </w:rPr>
  </w:style>
  <w:style w:type="paragraph" w:styleId="12">
    <w:name w:val="index 5"/>
    <w:basedOn w:val="1"/>
    <w:next w:val="1"/>
    <w:unhideWhenUsed/>
    <w:qFormat/>
    <w:uiPriority w:val="99"/>
    <w:pPr>
      <w:ind w:firstLine="640" w:firstLineChars="200"/>
    </w:pPr>
  </w:style>
  <w:style w:type="paragraph" w:styleId="13">
    <w:name w:val="toa heading"/>
    <w:basedOn w:val="1"/>
    <w:next w:val="1"/>
    <w:qFormat/>
    <w:uiPriority w:val="0"/>
    <w:pPr>
      <w:spacing w:before="120"/>
    </w:pPr>
    <w:rPr>
      <w:rFonts w:ascii="Arial" w:hAnsi="Arial" w:cs="Arial"/>
    </w:rPr>
  </w:style>
  <w:style w:type="paragraph" w:styleId="14">
    <w:name w:val="annotation text"/>
    <w:basedOn w:val="1"/>
    <w:link w:val="89"/>
    <w:qFormat/>
    <w:uiPriority w:val="0"/>
  </w:style>
  <w:style w:type="paragraph" w:styleId="15">
    <w:name w:val="Body Text"/>
    <w:basedOn w:val="1"/>
    <w:next w:val="1"/>
    <w:qFormat/>
    <w:uiPriority w:val="0"/>
    <w:pPr>
      <w:adjustRightInd w:val="0"/>
      <w:spacing w:line="440" w:lineRule="exact"/>
    </w:pPr>
    <w:rPr>
      <w:bCs/>
      <w:color w:val="000000"/>
      <w:szCs w:val="20"/>
    </w:rPr>
  </w:style>
  <w:style w:type="paragraph" w:styleId="16">
    <w:name w:val="Body Text Indent"/>
    <w:basedOn w:val="1"/>
    <w:link w:val="90"/>
    <w:qFormat/>
    <w:uiPriority w:val="0"/>
    <w:pPr>
      <w:spacing w:line="460" w:lineRule="exact"/>
      <w:ind w:firstLine="510"/>
    </w:pPr>
    <w:rPr>
      <w:szCs w:val="20"/>
    </w:rPr>
  </w:style>
  <w:style w:type="paragraph" w:styleId="17">
    <w:name w:val="toc 5"/>
    <w:basedOn w:val="1"/>
    <w:next w:val="1"/>
    <w:qFormat/>
    <w:uiPriority w:val="0"/>
    <w:pPr>
      <w:ind w:left="800" w:leftChars="800"/>
    </w:pPr>
  </w:style>
  <w:style w:type="paragraph" w:styleId="18">
    <w:name w:val="toc 3"/>
    <w:basedOn w:val="1"/>
    <w:next w:val="1"/>
    <w:qFormat/>
    <w:uiPriority w:val="39"/>
    <w:pPr>
      <w:ind w:left="420"/>
    </w:pPr>
    <w:rPr>
      <w:i/>
      <w:sz w:val="20"/>
      <w:szCs w:val="20"/>
    </w:rPr>
  </w:style>
  <w:style w:type="paragraph" w:styleId="19">
    <w:name w:val="Plain Text"/>
    <w:basedOn w:val="1"/>
    <w:link w:val="85"/>
    <w:qFormat/>
    <w:uiPriority w:val="0"/>
    <w:rPr>
      <w:rFonts w:hint="eastAsia" w:hAnsi="Courier New"/>
      <w:szCs w:val="20"/>
    </w:rPr>
  </w:style>
  <w:style w:type="paragraph" w:styleId="20">
    <w:name w:val="Date"/>
    <w:basedOn w:val="1"/>
    <w:next w:val="1"/>
    <w:qFormat/>
    <w:uiPriority w:val="0"/>
    <w:pPr>
      <w:ind w:left="2500" w:leftChars="2500"/>
    </w:pPr>
  </w:style>
  <w:style w:type="paragraph" w:styleId="21">
    <w:name w:val="Body Text Indent 2"/>
    <w:basedOn w:val="1"/>
    <w:qFormat/>
    <w:uiPriority w:val="0"/>
    <w:pPr>
      <w:spacing w:line="500" w:lineRule="exact"/>
      <w:ind w:firstLine="510"/>
    </w:pPr>
    <w:rPr>
      <w:szCs w:val="20"/>
    </w:rPr>
  </w:style>
  <w:style w:type="paragraph" w:styleId="22">
    <w:name w:val="Balloon Text"/>
    <w:basedOn w:val="1"/>
    <w:qFormat/>
    <w:uiPriority w:val="0"/>
    <w:rPr>
      <w:sz w:val="18"/>
      <w:szCs w:val="18"/>
    </w:rPr>
  </w:style>
  <w:style w:type="paragraph" w:styleId="23">
    <w:name w:val="footer"/>
    <w:basedOn w:val="1"/>
    <w:link w:val="91"/>
    <w:qFormat/>
    <w:uiPriority w:val="99"/>
    <w:pPr>
      <w:tabs>
        <w:tab w:val="center" w:pos="4153"/>
        <w:tab w:val="right" w:pos="8306"/>
      </w:tabs>
      <w:snapToGrid w:val="0"/>
    </w:pPr>
    <w:rPr>
      <w:sz w:val="18"/>
      <w:szCs w:val="20"/>
    </w:rPr>
  </w:style>
  <w:style w:type="paragraph" w:styleId="24">
    <w:name w:val="header"/>
    <w:basedOn w:val="1"/>
    <w:link w:val="92"/>
    <w:qFormat/>
    <w:uiPriority w:val="99"/>
    <w:pPr>
      <w:pBdr>
        <w:bottom w:val="single" w:color="auto" w:sz="6" w:space="1"/>
      </w:pBdr>
      <w:tabs>
        <w:tab w:val="center" w:pos="4153"/>
        <w:tab w:val="right" w:pos="8306"/>
      </w:tabs>
      <w:snapToGrid w:val="0"/>
      <w:jc w:val="center"/>
    </w:pPr>
    <w:rPr>
      <w:sz w:val="18"/>
      <w:szCs w:val="20"/>
    </w:rPr>
  </w:style>
  <w:style w:type="paragraph" w:styleId="25">
    <w:name w:val="toc 1"/>
    <w:basedOn w:val="1"/>
    <w:next w:val="1"/>
    <w:qFormat/>
    <w:uiPriority w:val="39"/>
    <w:pPr>
      <w:tabs>
        <w:tab w:val="right" w:leader="dot" w:pos="9360"/>
      </w:tabs>
      <w:spacing w:line="400" w:lineRule="exact"/>
    </w:pPr>
    <w:rPr>
      <w:b/>
      <w:caps/>
    </w:rPr>
  </w:style>
  <w:style w:type="paragraph" w:styleId="26">
    <w:name w:val="toc 4"/>
    <w:basedOn w:val="1"/>
    <w:next w:val="1"/>
    <w:qFormat/>
    <w:uiPriority w:val="0"/>
    <w:pPr>
      <w:ind w:left="600" w:leftChars="600"/>
    </w:pPr>
  </w:style>
  <w:style w:type="paragraph" w:styleId="27">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28">
    <w:name w:val="footnote text"/>
    <w:basedOn w:val="1"/>
    <w:qFormat/>
    <w:uiPriority w:val="99"/>
    <w:pPr>
      <w:snapToGrid w:val="0"/>
    </w:pPr>
    <w:rPr>
      <w:sz w:val="18"/>
    </w:rPr>
  </w:style>
  <w:style w:type="paragraph" w:styleId="29">
    <w:name w:val="toc 6"/>
    <w:basedOn w:val="1"/>
    <w:next w:val="1"/>
    <w:qFormat/>
    <w:uiPriority w:val="0"/>
    <w:pPr>
      <w:ind w:left="1000" w:leftChars="1000"/>
    </w:pPr>
  </w:style>
  <w:style w:type="paragraph" w:styleId="30">
    <w:name w:val="Body Text Indent 3"/>
    <w:basedOn w:val="1"/>
    <w:qFormat/>
    <w:uiPriority w:val="0"/>
    <w:pPr>
      <w:spacing w:after="120"/>
      <w:ind w:left="200" w:leftChars="200"/>
    </w:pPr>
    <w:rPr>
      <w:sz w:val="16"/>
      <w:szCs w:val="16"/>
    </w:rPr>
  </w:style>
  <w:style w:type="paragraph" w:styleId="31">
    <w:name w:val="toc 2"/>
    <w:basedOn w:val="1"/>
    <w:next w:val="1"/>
    <w:qFormat/>
    <w:uiPriority w:val="39"/>
    <w:pPr>
      <w:tabs>
        <w:tab w:val="right" w:leader="dot" w:pos="9540"/>
      </w:tabs>
      <w:spacing w:line="400" w:lineRule="exact"/>
      <w:ind w:left="210"/>
    </w:pPr>
    <w:rPr>
      <w:smallCaps/>
    </w:rPr>
  </w:style>
  <w:style w:type="paragraph" w:styleId="32">
    <w:name w:val="Body Text 2"/>
    <w:basedOn w:val="1"/>
    <w:qFormat/>
    <w:uiPriority w:val="0"/>
    <w:pPr>
      <w:spacing w:line="400" w:lineRule="exact"/>
    </w:pPr>
    <w:rPr>
      <w:color w:val="FF00FF"/>
      <w:szCs w:val="20"/>
      <w:shd w:val="pct10" w:color="auto" w:fill="FFFFFF"/>
    </w:rPr>
  </w:style>
  <w:style w:type="paragraph" w:styleId="33">
    <w:name w:val="Normal (Web)"/>
    <w:basedOn w:val="1"/>
    <w:qFormat/>
    <w:uiPriority w:val="0"/>
    <w:pPr>
      <w:spacing w:before="100" w:beforeAutospacing="1" w:after="100" w:afterAutospacing="1"/>
    </w:pPr>
    <w:rPr>
      <w:rFonts w:ascii="Arial Unicode MS" w:eastAsia="Arial Unicode MS" w:cs="Arial Unicode MS"/>
    </w:rPr>
  </w:style>
  <w:style w:type="paragraph" w:styleId="34">
    <w:name w:val="Title"/>
    <w:basedOn w:val="1"/>
    <w:next w:val="27"/>
    <w:qFormat/>
    <w:uiPriority w:val="0"/>
    <w:pPr>
      <w:spacing w:before="240" w:after="60"/>
      <w:jc w:val="center"/>
      <w:outlineLvl w:val="0"/>
    </w:pPr>
    <w:rPr>
      <w:rFonts w:ascii="Arial" w:hAnsi="Arial" w:cs="Arial"/>
      <w:b/>
      <w:bCs/>
      <w:sz w:val="32"/>
      <w:szCs w:val="32"/>
    </w:rPr>
  </w:style>
  <w:style w:type="paragraph" w:styleId="35">
    <w:name w:val="annotation subject"/>
    <w:basedOn w:val="14"/>
    <w:next w:val="14"/>
    <w:link w:val="93"/>
    <w:qFormat/>
    <w:uiPriority w:val="0"/>
    <w:rPr>
      <w:b/>
      <w:bCs/>
    </w:rPr>
  </w:style>
  <w:style w:type="paragraph" w:styleId="36">
    <w:name w:val="Body Text First Indent"/>
    <w:basedOn w:val="15"/>
    <w:qFormat/>
    <w:uiPriority w:val="0"/>
    <w:pPr>
      <w:ind w:firstLine="420" w:firstLineChars="100"/>
    </w:pPr>
    <w:rPr>
      <w:kern w:val="2"/>
      <w:sz w:val="21"/>
      <w:szCs w:val="22"/>
    </w:r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basedOn w:val="39"/>
    <w:qFormat/>
    <w:uiPriority w:val="0"/>
    <w:rPr>
      <w:b/>
      <w:bCs/>
    </w:rPr>
  </w:style>
  <w:style w:type="character" w:styleId="41">
    <w:name w:val="page number"/>
    <w:basedOn w:val="39"/>
    <w:qFormat/>
    <w:uiPriority w:val="0"/>
  </w:style>
  <w:style w:type="character" w:styleId="42">
    <w:name w:val="FollowedHyperlink"/>
    <w:qFormat/>
    <w:uiPriority w:val="99"/>
    <w:rPr>
      <w:color w:val="800080"/>
      <w:u w:val="single"/>
    </w:rPr>
  </w:style>
  <w:style w:type="character" w:styleId="43">
    <w:name w:val="Hyperlink"/>
    <w:qFormat/>
    <w:uiPriority w:val="99"/>
    <w:rPr>
      <w:color w:val="0000FF"/>
      <w:u w:val="single"/>
    </w:rPr>
  </w:style>
  <w:style w:type="character" w:styleId="44">
    <w:name w:val="annotation reference"/>
    <w:qFormat/>
    <w:uiPriority w:val="0"/>
    <w:rPr>
      <w:sz w:val="21"/>
      <w:szCs w:val="21"/>
    </w:rPr>
  </w:style>
  <w:style w:type="paragraph" w:customStyle="1" w:styleId="45">
    <w:name w:val="正文-公1"/>
    <w:basedOn w:val="1"/>
    <w:qFormat/>
    <w:uiPriority w:val="0"/>
    <w:pPr>
      <w:ind w:firstLine="200" w:firstLineChars="200"/>
    </w:pPr>
    <w:rPr>
      <w:rFonts w:cs="Calibri"/>
      <w:szCs w:val="21"/>
    </w:rPr>
  </w:style>
  <w:style w:type="paragraph" w:styleId="46">
    <w:name w:val="List Paragraph"/>
    <w:basedOn w:val="1"/>
    <w:qFormat/>
    <w:uiPriority w:val="34"/>
    <w:pPr>
      <w:ind w:firstLine="200" w:firstLineChars="200"/>
    </w:pPr>
    <w:rPr>
      <w:rFonts w:ascii="Calibri" w:hAnsi="Calibri"/>
      <w:szCs w:val="22"/>
    </w:rPr>
  </w:style>
  <w:style w:type="character" w:customStyle="1" w:styleId="47">
    <w:name w:val="para"/>
    <w:basedOn w:val="39"/>
    <w:qFormat/>
    <w:uiPriority w:val="0"/>
  </w:style>
  <w:style w:type="character" w:customStyle="1" w:styleId="48">
    <w:name w:val="small1"/>
    <w:qFormat/>
    <w:uiPriority w:val="0"/>
    <w:rPr>
      <w:rFonts w:ascii="Verdana" w:hAnsi="Verdana"/>
      <w:sz w:val="17"/>
      <w:szCs w:val="17"/>
    </w:rPr>
  </w:style>
  <w:style w:type="character" w:customStyle="1" w:styleId="49">
    <w:name w:val="Char Char9"/>
    <w:qFormat/>
    <w:uiPriority w:val="0"/>
    <w:rPr>
      <w:rFonts w:ascii="宋体"/>
      <w:sz w:val="21"/>
      <w:szCs w:val="21"/>
      <w:lang w:bidi="ar-SA"/>
    </w:rPr>
  </w:style>
  <w:style w:type="character" w:customStyle="1" w:styleId="50">
    <w:name w:val="style21"/>
    <w:qFormat/>
    <w:uiPriority w:val="0"/>
    <w:rPr>
      <w:b/>
      <w:bCs/>
    </w:rPr>
  </w:style>
  <w:style w:type="character" w:customStyle="1" w:styleId="51">
    <w:name w:val="title_emph"/>
    <w:basedOn w:val="39"/>
    <w:qFormat/>
    <w:uiPriority w:val="0"/>
  </w:style>
  <w:style w:type="character" w:customStyle="1" w:styleId="52">
    <w:name w:val="v151"/>
    <w:qFormat/>
    <w:uiPriority w:val="0"/>
    <w:rPr>
      <w:sz w:val="18"/>
      <w:szCs w:val="18"/>
    </w:rPr>
  </w:style>
  <w:style w:type="character" w:customStyle="1" w:styleId="53">
    <w:name w:val="标题 2 Char"/>
    <w:qFormat/>
    <w:uiPriority w:val="0"/>
    <w:rPr>
      <w:rFonts w:ascii="Arial" w:hAnsi="Arial" w:eastAsia="宋体"/>
      <w:b/>
      <w:sz w:val="30"/>
      <w:lang w:val="en-US" w:eastAsia="zh-CN" w:bidi="ar-SA"/>
    </w:rPr>
  </w:style>
  <w:style w:type="character" w:customStyle="1" w:styleId="54">
    <w:name w:val="point_normal"/>
    <w:basedOn w:val="39"/>
    <w:qFormat/>
    <w:uiPriority w:val="0"/>
  </w:style>
  <w:style w:type="paragraph" w:customStyle="1" w:styleId="55">
    <w:name w:val="列表段落1"/>
    <w:basedOn w:val="1"/>
    <w:qFormat/>
    <w:uiPriority w:val="0"/>
    <w:pPr>
      <w:ind w:firstLine="200" w:firstLineChars="200"/>
    </w:pPr>
  </w:style>
  <w:style w:type="paragraph" w:customStyle="1" w:styleId="56">
    <w:name w:val="Plain Text1"/>
    <w:basedOn w:val="1"/>
    <w:qFormat/>
    <w:uiPriority w:val="99"/>
    <w:pPr>
      <w:overflowPunct w:val="0"/>
      <w:autoSpaceDE w:val="0"/>
      <w:autoSpaceDN w:val="0"/>
    </w:pPr>
    <w:rPr>
      <w:szCs w:val="21"/>
    </w:rPr>
  </w:style>
  <w:style w:type="paragraph" w:customStyle="1" w:styleId="57">
    <w:name w:val="CM5"/>
    <w:basedOn w:val="58"/>
    <w:next w:val="58"/>
    <w:qFormat/>
    <w:uiPriority w:val="0"/>
    <w:pPr>
      <w:spacing w:line="623" w:lineRule="atLeast"/>
    </w:pPr>
    <w:rPr>
      <w:rFonts w:cs="Times New Roman"/>
      <w:color w:val="auto"/>
    </w:rPr>
  </w:style>
  <w:style w:type="paragraph" w:customStyle="1" w:styleId="58">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59">
    <w:name w:val="Char Char Char Char Char"/>
    <w:basedOn w:val="1"/>
    <w:qFormat/>
    <w:uiPriority w:val="0"/>
    <w:pPr>
      <w:numPr>
        <w:ilvl w:val="0"/>
        <w:numId w:val="1"/>
      </w:numPr>
      <w:tabs>
        <w:tab w:val="clear" w:pos="1530"/>
      </w:tabs>
      <w:spacing w:after="160" w:line="240" w:lineRule="exact"/>
      <w:ind w:left="0" w:firstLine="0"/>
    </w:pPr>
    <w:rPr>
      <w:szCs w:val="20"/>
    </w:rPr>
  </w:style>
  <w:style w:type="paragraph" w:customStyle="1" w:styleId="60">
    <w:name w:val="文件标题"/>
    <w:basedOn w:val="1"/>
    <w:qFormat/>
    <w:uiPriority w:val="0"/>
    <w:pPr>
      <w:autoSpaceDE w:val="0"/>
      <w:autoSpaceDN w:val="0"/>
      <w:adjustRightInd w:val="0"/>
      <w:spacing w:after="240"/>
      <w:jc w:val="center"/>
    </w:pPr>
    <w:rPr>
      <w:rFonts w:ascii="Arial Black" w:hAnsi="Arial Black"/>
      <w:sz w:val="48"/>
      <w:szCs w:val="20"/>
    </w:rPr>
  </w:style>
  <w:style w:type="paragraph" w:customStyle="1" w:styleId="61">
    <w:name w:val="样式 标题 6 + 黑色"/>
    <w:basedOn w:val="7"/>
    <w:qFormat/>
    <w:uiPriority w:val="0"/>
    <w:pPr>
      <w:numPr>
        <w:ilvl w:val="5"/>
        <w:numId w:val="2"/>
      </w:numPr>
      <w:adjustRightInd w:val="0"/>
      <w:spacing w:before="120" w:after="60" w:line="320" w:lineRule="atLeast"/>
      <w:textAlignment w:val="baseline"/>
    </w:pPr>
    <w:rPr>
      <w:rFonts w:eastAsia="宋体"/>
      <w:color w:val="000000"/>
      <w:sz w:val="28"/>
    </w:rPr>
  </w:style>
  <w:style w:type="paragraph" w:customStyle="1" w:styleId="62">
    <w:name w:val="Char Char1 Char Char Char Char Char Char Char Char Char Char Char Char Char Char"/>
    <w:basedOn w:val="1"/>
    <w:qFormat/>
    <w:uiPriority w:val="0"/>
    <w:pPr>
      <w:spacing w:after="160" w:line="240" w:lineRule="exact"/>
    </w:pPr>
    <w:rPr>
      <w:rFonts w:ascii="Verdana" w:hAnsi="Verdana"/>
      <w:sz w:val="20"/>
      <w:szCs w:val="20"/>
    </w:rPr>
  </w:style>
  <w:style w:type="paragraph" w:customStyle="1" w:styleId="63">
    <w:name w:val="默认段落字体 Para Char"/>
    <w:basedOn w:val="1"/>
    <w:qFormat/>
    <w:uiPriority w:val="0"/>
    <w:pPr>
      <w:adjustRightInd w:val="0"/>
      <w:spacing w:line="360" w:lineRule="auto"/>
    </w:pPr>
    <w:rPr>
      <w:szCs w:val="20"/>
    </w:rPr>
  </w:style>
  <w:style w:type="paragraph" w:customStyle="1" w:styleId="64">
    <w:name w:val="正文文本缩进1"/>
    <w:basedOn w:val="1"/>
    <w:qFormat/>
    <w:uiPriority w:val="0"/>
    <w:pPr>
      <w:spacing w:line="400" w:lineRule="atLeast"/>
      <w:ind w:firstLine="420"/>
    </w:pPr>
    <w:rPr>
      <w:sz w:val="20"/>
      <w:szCs w:val="20"/>
    </w:rPr>
  </w:style>
  <w:style w:type="paragraph" w:customStyle="1" w:styleId="65">
    <w:name w:val="样式2"/>
    <w:basedOn w:val="7"/>
    <w:link w:val="95"/>
    <w:qFormat/>
    <w:uiPriority w:val="0"/>
    <w:pPr>
      <w:tabs>
        <w:tab w:val="left" w:pos="2520"/>
      </w:tabs>
      <w:adjustRightInd w:val="0"/>
      <w:spacing w:before="120" w:after="60" w:line="240" w:lineRule="auto"/>
      <w:ind w:left="2520" w:hanging="420"/>
      <w:textAlignment w:val="baseline"/>
    </w:pPr>
    <w:rPr>
      <w:rFonts w:eastAsia="宋体"/>
      <w:color w:val="000000"/>
      <w:sz w:val="28"/>
    </w:rPr>
  </w:style>
  <w:style w:type="paragraph" w:customStyle="1" w:styleId="66">
    <w:name w:val="Char"/>
    <w:basedOn w:val="1"/>
    <w:qFormat/>
    <w:uiPriority w:val="0"/>
  </w:style>
  <w:style w:type="paragraph" w:customStyle="1" w:styleId="67">
    <w:name w:val="表格文字"/>
    <w:basedOn w:val="1"/>
    <w:qFormat/>
    <w:uiPriority w:val="0"/>
    <w:rPr>
      <w:rFonts w:eastAsia="仿宋_GB2312"/>
      <w:szCs w:val="21"/>
    </w:rPr>
  </w:style>
  <w:style w:type="paragraph" w:customStyle="1" w:styleId="68">
    <w:name w:val="Char3"/>
    <w:basedOn w:val="1"/>
    <w:qFormat/>
    <w:uiPriority w:val="0"/>
    <w:pPr>
      <w:tabs>
        <w:tab w:val="left" w:pos="794"/>
        <w:tab w:val="left" w:pos="1191"/>
        <w:tab w:val="left" w:pos="1588"/>
        <w:tab w:val="left" w:pos="1985"/>
      </w:tabs>
      <w:autoSpaceDE w:val="0"/>
      <w:autoSpaceDN w:val="0"/>
      <w:adjustRightInd w:val="0"/>
      <w:spacing w:before="136"/>
    </w:pPr>
    <w:rPr>
      <w:rFonts w:ascii="Verdana" w:hAnsi="Verdana"/>
      <w:sz w:val="20"/>
      <w:szCs w:val="20"/>
    </w:rPr>
  </w:style>
  <w:style w:type="paragraph" w:customStyle="1" w:styleId="69">
    <w:name w:val="Char Char2"/>
    <w:basedOn w:val="1"/>
    <w:qFormat/>
    <w:uiPriority w:val="0"/>
    <w:pPr>
      <w:tabs>
        <w:tab w:val="left" w:pos="794"/>
        <w:tab w:val="left" w:pos="1191"/>
        <w:tab w:val="left" w:pos="1588"/>
        <w:tab w:val="left" w:pos="1985"/>
      </w:tabs>
      <w:autoSpaceDE w:val="0"/>
      <w:autoSpaceDN w:val="0"/>
      <w:adjustRightInd w:val="0"/>
      <w:spacing w:before="136"/>
    </w:pPr>
    <w:rPr>
      <w:rFonts w:ascii="Tahoma" w:hAnsi="Tahoma"/>
      <w:szCs w:val="20"/>
      <w:lang w:val="en-GB"/>
    </w:rPr>
  </w:style>
  <w:style w:type="paragraph" w:customStyle="1" w:styleId="70">
    <w:name w:val="CM1"/>
    <w:basedOn w:val="58"/>
    <w:next w:val="58"/>
    <w:qFormat/>
    <w:uiPriority w:val="0"/>
    <w:pPr>
      <w:spacing w:line="623" w:lineRule="atLeast"/>
    </w:pPr>
    <w:rPr>
      <w:rFonts w:cs="Times New Roman"/>
      <w:color w:val="auto"/>
    </w:rPr>
  </w:style>
  <w:style w:type="paragraph" w:customStyle="1" w:styleId="71">
    <w:name w:val="Char Char"/>
    <w:basedOn w:val="1"/>
    <w:qFormat/>
    <w:uiPriority w:val="0"/>
    <w:pPr>
      <w:spacing w:after="160" w:line="240" w:lineRule="exact"/>
    </w:pPr>
    <w:rPr>
      <w:rFonts w:ascii="Verdana" w:hAnsi="Verdana" w:eastAsia="仿宋_GB2312"/>
      <w:szCs w:val="20"/>
    </w:rPr>
  </w:style>
  <w:style w:type="paragraph" w:customStyle="1" w:styleId="72">
    <w:name w:val="样式4"/>
    <w:basedOn w:val="1"/>
    <w:qFormat/>
    <w:uiPriority w:val="0"/>
    <w:pPr>
      <w:numPr>
        <w:ilvl w:val="0"/>
        <w:numId w:val="3"/>
      </w:numPr>
      <w:spacing w:line="500" w:lineRule="exact"/>
      <w:ind w:left="0" w:firstLine="0"/>
    </w:pPr>
    <w:rPr>
      <w:b/>
      <w:bCs/>
      <w:color w:val="000000"/>
    </w:rPr>
  </w:style>
  <w:style w:type="paragraph" w:customStyle="1" w:styleId="73">
    <w:name w:val="缺省文本"/>
    <w:basedOn w:val="1"/>
    <w:qFormat/>
    <w:uiPriority w:val="0"/>
    <w:pPr>
      <w:autoSpaceDE w:val="0"/>
      <w:autoSpaceDN w:val="0"/>
      <w:adjustRightInd w:val="0"/>
    </w:pPr>
    <w:rPr>
      <w:szCs w:val="20"/>
    </w:rPr>
  </w:style>
  <w:style w:type="paragraph" w:customStyle="1" w:styleId="74">
    <w:name w:val="正文（仿宋）"/>
    <w:basedOn w:val="1"/>
    <w:qFormat/>
    <w:uiPriority w:val="0"/>
    <w:pPr>
      <w:numPr>
        <w:ilvl w:val="0"/>
        <w:numId w:val="4"/>
      </w:numPr>
      <w:spacing w:beforeLines="75" w:afterLines="75"/>
      <w:ind w:firstLine="0"/>
    </w:pPr>
  </w:style>
  <w:style w:type="paragraph" w:customStyle="1" w:styleId="75">
    <w:name w:val="Char Char Char Char Char Char"/>
    <w:basedOn w:val="1"/>
    <w:qFormat/>
    <w:uiPriority w:val="0"/>
    <w:pPr>
      <w:adjustRightInd w:val="0"/>
      <w:spacing w:line="360" w:lineRule="auto"/>
    </w:pPr>
    <w:rPr>
      <w:szCs w:val="20"/>
    </w:rPr>
  </w:style>
  <w:style w:type="paragraph" w:customStyle="1" w:styleId="76">
    <w:name w:val="样式6"/>
    <w:basedOn w:val="1"/>
    <w:qFormat/>
    <w:uiPriority w:val="0"/>
    <w:pPr>
      <w:spacing w:line="360" w:lineRule="auto"/>
      <w:ind w:firstLine="200" w:firstLineChars="200"/>
    </w:pPr>
  </w:style>
  <w:style w:type="paragraph" w:customStyle="1" w:styleId="77">
    <w:name w:val="Char Char1"/>
    <w:basedOn w:val="1"/>
    <w:qFormat/>
    <w:uiPriority w:val="0"/>
    <w:pPr>
      <w:spacing w:after="160" w:line="240" w:lineRule="exact"/>
    </w:pPr>
    <w:rPr>
      <w:rFonts w:ascii="Verdana" w:hAnsi="Verdana" w:eastAsia="仿宋_GB2312"/>
      <w:szCs w:val="20"/>
    </w:rPr>
  </w:style>
  <w:style w:type="paragraph" w:customStyle="1" w:styleId="78">
    <w:name w:val="CM11"/>
    <w:basedOn w:val="1"/>
    <w:next w:val="1"/>
    <w:qFormat/>
    <w:uiPriority w:val="0"/>
    <w:pPr>
      <w:autoSpaceDE w:val="0"/>
      <w:autoSpaceDN w:val="0"/>
      <w:adjustRightInd w:val="0"/>
      <w:spacing w:after="860"/>
    </w:pPr>
    <w:rPr>
      <w:rFonts w:ascii="仿宋_GB2312" w:eastAsia="仿宋_GB2312"/>
    </w:rPr>
  </w:style>
  <w:style w:type="paragraph" w:customStyle="1" w:styleId="79">
    <w:name w:val="样式5"/>
    <w:basedOn w:val="1"/>
    <w:qFormat/>
    <w:uiPriority w:val="0"/>
    <w:pPr>
      <w:spacing w:line="360" w:lineRule="auto"/>
      <w:ind w:firstLine="200" w:firstLineChars="200"/>
    </w:pPr>
  </w:style>
  <w:style w:type="paragraph" w:customStyle="1" w:styleId="80">
    <w:name w:val="Char31"/>
    <w:basedOn w:val="1"/>
    <w:qFormat/>
    <w:uiPriority w:val="0"/>
    <w:pPr>
      <w:tabs>
        <w:tab w:val="left" w:pos="794"/>
        <w:tab w:val="left" w:pos="1191"/>
        <w:tab w:val="left" w:pos="1588"/>
        <w:tab w:val="left" w:pos="1985"/>
      </w:tabs>
      <w:autoSpaceDE w:val="0"/>
      <w:autoSpaceDN w:val="0"/>
      <w:adjustRightInd w:val="0"/>
      <w:spacing w:before="136"/>
    </w:pPr>
    <w:rPr>
      <w:rFonts w:ascii="Tahoma" w:hAnsi="Tahoma"/>
      <w:szCs w:val="20"/>
      <w:lang w:val="en-GB"/>
    </w:rPr>
  </w:style>
  <w:style w:type="paragraph" w:customStyle="1" w:styleId="81">
    <w:name w:val="Char Char Char Char"/>
    <w:basedOn w:val="1"/>
    <w:next w:val="1"/>
    <w:qFormat/>
    <w:uiPriority w:val="0"/>
    <w:pPr>
      <w:tabs>
        <w:tab w:val="left" w:pos="845"/>
      </w:tabs>
      <w:spacing w:beforeLines="50" w:afterLines="100" w:line="360" w:lineRule="auto"/>
      <w:ind w:left="2210" w:hanging="748"/>
      <w:jc w:val="center"/>
    </w:pPr>
  </w:style>
  <w:style w:type="paragraph" w:customStyle="1" w:styleId="82">
    <w:name w:val="Char Char Char Char1"/>
    <w:basedOn w:val="1"/>
    <w:next w:val="1"/>
    <w:qFormat/>
    <w:uiPriority w:val="0"/>
    <w:pPr>
      <w:tabs>
        <w:tab w:val="left" w:pos="845"/>
      </w:tabs>
      <w:spacing w:beforeLines="50" w:afterLines="100" w:line="360" w:lineRule="auto"/>
      <w:ind w:left="1104" w:hanging="748"/>
      <w:jc w:val="center"/>
    </w:pPr>
  </w:style>
  <w:style w:type="paragraph" w:customStyle="1" w:styleId="83">
    <w:name w:val="图表标题"/>
    <w:basedOn w:val="1"/>
    <w:qFormat/>
    <w:uiPriority w:val="0"/>
    <w:pPr>
      <w:tabs>
        <w:tab w:val="right" w:leader="dot" w:pos="8296"/>
      </w:tabs>
      <w:spacing w:line="360" w:lineRule="auto"/>
      <w:jc w:val="center"/>
    </w:pPr>
    <w:rPr>
      <w:rFonts w:eastAsia="仿宋_GB2312"/>
      <w:b/>
      <w:szCs w:val="21"/>
    </w:rPr>
  </w:style>
  <w:style w:type="paragraph" w:customStyle="1" w:styleId="84">
    <w:name w:val="_Style 2"/>
    <w:basedOn w:val="1"/>
    <w:qFormat/>
    <w:uiPriority w:val="0"/>
    <w:pPr>
      <w:ind w:firstLine="200" w:firstLineChars="200"/>
    </w:pPr>
  </w:style>
  <w:style w:type="character" w:customStyle="1" w:styleId="85">
    <w:name w:val="纯文本 字符"/>
    <w:link w:val="19"/>
    <w:qFormat/>
    <w:locked/>
    <w:uiPriority w:val="0"/>
    <w:rPr>
      <w:rFonts w:ascii="宋体"/>
      <w:kern w:val="2"/>
      <w:sz w:val="21"/>
    </w:rPr>
  </w:style>
  <w:style w:type="paragraph" w:customStyle="1" w:styleId="86">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87">
    <w:name w:val="修订2"/>
    <w:hidden/>
    <w:qFormat/>
    <w:uiPriority w:val="99"/>
    <w:rPr>
      <w:rFonts w:ascii="Times New Roman" w:hAnsi="Times New Roman" w:eastAsia="宋体" w:cs="Times New Roman"/>
      <w:kern w:val="2"/>
      <w:sz w:val="21"/>
      <w:szCs w:val="24"/>
      <w:lang w:val="en-US" w:eastAsia="zh-CN" w:bidi="ar-SA"/>
    </w:rPr>
  </w:style>
  <w:style w:type="character" w:customStyle="1" w:styleId="88">
    <w:name w:val="标题 1 字符"/>
    <w:link w:val="2"/>
    <w:qFormat/>
    <w:uiPriority w:val="0"/>
    <w:rPr>
      <w:b/>
      <w:spacing w:val="20"/>
      <w:kern w:val="44"/>
      <w:sz w:val="32"/>
    </w:rPr>
  </w:style>
  <w:style w:type="character" w:customStyle="1" w:styleId="89">
    <w:name w:val="批注文字 字符"/>
    <w:link w:val="14"/>
    <w:qFormat/>
    <w:uiPriority w:val="0"/>
    <w:rPr>
      <w:kern w:val="2"/>
      <w:sz w:val="21"/>
      <w:szCs w:val="24"/>
    </w:rPr>
  </w:style>
  <w:style w:type="character" w:customStyle="1" w:styleId="90">
    <w:name w:val="正文文本缩进 字符"/>
    <w:link w:val="16"/>
    <w:qFormat/>
    <w:uiPriority w:val="0"/>
    <w:rPr>
      <w:kern w:val="2"/>
      <w:sz w:val="21"/>
    </w:rPr>
  </w:style>
  <w:style w:type="character" w:customStyle="1" w:styleId="91">
    <w:name w:val="页脚 字符"/>
    <w:link w:val="23"/>
    <w:qFormat/>
    <w:locked/>
    <w:uiPriority w:val="99"/>
    <w:rPr>
      <w:kern w:val="2"/>
      <w:sz w:val="18"/>
    </w:rPr>
  </w:style>
  <w:style w:type="character" w:customStyle="1" w:styleId="92">
    <w:name w:val="页眉 字符"/>
    <w:link w:val="24"/>
    <w:qFormat/>
    <w:locked/>
    <w:uiPriority w:val="99"/>
    <w:rPr>
      <w:kern w:val="2"/>
      <w:sz w:val="18"/>
    </w:rPr>
  </w:style>
  <w:style w:type="character" w:customStyle="1" w:styleId="93">
    <w:name w:val="批注主题 字符"/>
    <w:link w:val="35"/>
    <w:qFormat/>
    <w:uiPriority w:val="0"/>
    <w:rPr>
      <w:b/>
      <w:bCs/>
      <w:kern w:val="2"/>
      <w:sz w:val="21"/>
      <w:szCs w:val="24"/>
    </w:rPr>
  </w:style>
  <w:style w:type="character" w:customStyle="1" w:styleId="94">
    <w:name w:val="Char Char91"/>
    <w:qFormat/>
    <w:uiPriority w:val="0"/>
    <w:rPr>
      <w:rFonts w:ascii="宋体" w:hAnsi="Courier New"/>
      <w:sz w:val="21"/>
      <w:szCs w:val="21"/>
      <w:lang w:bidi="ar-SA"/>
    </w:rPr>
  </w:style>
  <w:style w:type="character" w:customStyle="1" w:styleId="95">
    <w:name w:val="样式2 Char"/>
    <w:link w:val="65"/>
    <w:qFormat/>
    <w:uiPriority w:val="0"/>
    <w:rPr>
      <w:rFonts w:ascii="Arial" w:hAnsi="Arial"/>
      <w:b/>
      <w:bCs/>
      <w:color w:val="000000"/>
      <w:kern w:val="2"/>
      <w:sz w:val="28"/>
      <w:szCs w:val="24"/>
    </w:rPr>
  </w:style>
  <w:style w:type="character" w:customStyle="1" w:styleId="96">
    <w:name w:val="纯文本 Char"/>
    <w:qFormat/>
    <w:locked/>
    <w:uiPriority w:val="0"/>
    <w:rPr>
      <w:rFonts w:ascii="宋体" w:hAnsi="Courier New"/>
      <w:kern w:val="2"/>
      <w:sz w:val="21"/>
    </w:rPr>
  </w:style>
  <w:style w:type="paragraph" w:customStyle="1" w:styleId="97">
    <w:name w:val="正文文本缩进2"/>
    <w:basedOn w:val="1"/>
    <w:qFormat/>
    <w:uiPriority w:val="0"/>
    <w:pPr>
      <w:spacing w:line="400" w:lineRule="atLeast"/>
      <w:ind w:firstLine="420"/>
    </w:pPr>
    <w:rPr>
      <w:sz w:val="20"/>
      <w:szCs w:val="20"/>
    </w:rPr>
  </w:style>
  <w:style w:type="paragraph" w:customStyle="1" w:styleId="98">
    <w:name w:val="Char Char Char Char Char Char1"/>
    <w:basedOn w:val="1"/>
    <w:qFormat/>
    <w:uiPriority w:val="0"/>
    <w:pPr>
      <w:adjustRightInd w:val="0"/>
      <w:spacing w:line="360" w:lineRule="auto"/>
    </w:pPr>
    <w:rPr>
      <w:szCs w:val="20"/>
    </w:rPr>
  </w:style>
  <w:style w:type="paragraph" w:customStyle="1" w:styleId="99">
    <w:name w:val="Char Char Char Char Char1"/>
    <w:basedOn w:val="1"/>
    <w:qFormat/>
    <w:uiPriority w:val="0"/>
    <w:pPr>
      <w:numPr>
        <w:ilvl w:val="0"/>
        <w:numId w:val="2"/>
      </w:numPr>
      <w:spacing w:after="160" w:line="240" w:lineRule="exact"/>
      <w:ind w:left="0" w:firstLine="0"/>
    </w:pPr>
    <w:rPr>
      <w:szCs w:val="20"/>
    </w:rPr>
  </w:style>
  <w:style w:type="paragraph" w:customStyle="1" w:styleId="100">
    <w:name w:val="Char Char21"/>
    <w:basedOn w:val="1"/>
    <w:qFormat/>
    <w:uiPriority w:val="0"/>
    <w:pPr>
      <w:tabs>
        <w:tab w:val="left" w:pos="794"/>
        <w:tab w:val="left" w:pos="1191"/>
        <w:tab w:val="left" w:pos="1588"/>
        <w:tab w:val="left" w:pos="1985"/>
      </w:tabs>
      <w:autoSpaceDE w:val="0"/>
      <w:autoSpaceDN w:val="0"/>
      <w:adjustRightInd w:val="0"/>
      <w:spacing w:before="136"/>
    </w:pPr>
    <w:rPr>
      <w:rFonts w:ascii="Tahoma" w:hAnsi="Tahoma"/>
      <w:szCs w:val="20"/>
      <w:lang w:val="en-GB"/>
    </w:rPr>
  </w:style>
  <w:style w:type="paragraph" w:customStyle="1" w:styleId="101">
    <w:name w:val="列表段落2"/>
    <w:basedOn w:val="1"/>
    <w:qFormat/>
    <w:uiPriority w:val="34"/>
    <w:pPr>
      <w:ind w:firstLine="420" w:firstLineChars="200"/>
    </w:pPr>
  </w:style>
  <w:style w:type="paragraph" w:customStyle="1" w:styleId="102">
    <w:name w:val="Char1"/>
    <w:basedOn w:val="1"/>
    <w:qFormat/>
    <w:uiPriority w:val="0"/>
  </w:style>
  <w:style w:type="paragraph" w:customStyle="1" w:styleId="103">
    <w:name w:val="Char Char1 Char Char Char Char Char Char Char Char Char Char Char Char Char Char1"/>
    <w:basedOn w:val="1"/>
    <w:qFormat/>
    <w:uiPriority w:val="0"/>
    <w:pPr>
      <w:spacing w:after="160" w:line="240" w:lineRule="exact"/>
    </w:pPr>
    <w:rPr>
      <w:rFonts w:ascii="Verdana" w:hAnsi="Verdana"/>
      <w:sz w:val="20"/>
      <w:szCs w:val="20"/>
      <w:lang w:eastAsia="en-US"/>
    </w:rPr>
  </w:style>
  <w:style w:type="paragraph" w:customStyle="1" w:styleId="104">
    <w:name w:val="Char Char3"/>
    <w:basedOn w:val="1"/>
    <w:qFormat/>
    <w:uiPriority w:val="0"/>
    <w:pPr>
      <w:spacing w:after="160" w:line="240" w:lineRule="exact"/>
    </w:pPr>
    <w:rPr>
      <w:rFonts w:ascii="Verdana" w:hAnsi="Verdana" w:eastAsia="仿宋_GB2312"/>
      <w:szCs w:val="20"/>
      <w:lang w:eastAsia="en-US"/>
    </w:rPr>
  </w:style>
  <w:style w:type="paragraph" w:customStyle="1" w:styleId="105">
    <w:name w:val="Char Char Char Char2"/>
    <w:basedOn w:val="1"/>
    <w:next w:val="1"/>
    <w:qFormat/>
    <w:uiPriority w:val="0"/>
    <w:pPr>
      <w:tabs>
        <w:tab w:val="left" w:pos="845"/>
      </w:tabs>
      <w:spacing w:beforeLines="50" w:afterLines="100" w:line="360" w:lineRule="auto"/>
      <w:ind w:left="1105" w:hanging="748"/>
      <w:jc w:val="center"/>
    </w:pPr>
  </w:style>
  <w:style w:type="paragraph" w:customStyle="1" w:styleId="106">
    <w:name w:val="Char32"/>
    <w:basedOn w:val="1"/>
    <w:qFormat/>
    <w:uiPriority w:val="0"/>
    <w:pPr>
      <w:tabs>
        <w:tab w:val="left" w:pos="794"/>
        <w:tab w:val="left" w:pos="1191"/>
        <w:tab w:val="left" w:pos="1588"/>
        <w:tab w:val="left" w:pos="1985"/>
      </w:tabs>
      <w:autoSpaceDE w:val="0"/>
      <w:autoSpaceDN w:val="0"/>
      <w:adjustRightInd w:val="0"/>
      <w:spacing w:before="136"/>
    </w:pPr>
    <w:rPr>
      <w:rFonts w:ascii="Tahoma" w:hAnsi="Tahoma"/>
      <w:szCs w:val="20"/>
      <w:lang w:val="en-GB"/>
    </w:rPr>
  </w:style>
  <w:style w:type="paragraph" w:customStyle="1" w:styleId="107">
    <w:name w:val="msonormal"/>
    <w:basedOn w:val="1"/>
    <w:qFormat/>
    <w:uiPriority w:val="0"/>
    <w:pPr>
      <w:spacing w:before="100" w:beforeAutospacing="1" w:after="100" w:afterAutospacing="1"/>
    </w:pPr>
  </w:style>
  <w:style w:type="paragraph" w:customStyle="1" w:styleId="108">
    <w:name w:val="xl65"/>
    <w:basedOn w:val="1"/>
    <w:qFormat/>
    <w:uiPriority w:val="0"/>
    <w:pPr>
      <w:spacing w:before="100" w:beforeAutospacing="1" w:after="100" w:afterAutospacing="1"/>
    </w:pPr>
  </w:style>
  <w:style w:type="paragraph" w:customStyle="1" w:styleId="109">
    <w:name w:val="xl66"/>
    <w:basedOn w:val="1"/>
    <w:qFormat/>
    <w:uiPriority w:val="0"/>
    <w:pPr>
      <w:spacing w:before="100" w:beforeAutospacing="1" w:after="100" w:afterAutospacing="1"/>
      <w:jc w:val="center"/>
      <w:textAlignment w:val="center"/>
    </w:pPr>
  </w:style>
  <w:style w:type="paragraph" w:customStyle="1" w:styleId="110">
    <w:name w:val="xl67"/>
    <w:basedOn w:val="1"/>
    <w:qFormat/>
    <w:uiPriority w:val="0"/>
    <w:pPr>
      <w:spacing w:before="100" w:beforeAutospacing="1" w:after="100" w:afterAutospacing="1"/>
      <w:jc w:val="center"/>
    </w:pPr>
  </w:style>
  <w:style w:type="paragraph" w:customStyle="1" w:styleId="111">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112">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olor w:val="000000"/>
    </w:rPr>
  </w:style>
  <w:style w:type="paragraph" w:customStyle="1" w:styleId="113">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olor w:val="000000"/>
    </w:rPr>
  </w:style>
  <w:style w:type="paragraph" w:customStyle="1" w:styleId="114">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olor w:val="000000"/>
    </w:rPr>
  </w:style>
  <w:style w:type="paragraph" w:customStyle="1" w:styleId="115">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olor w:val="000000"/>
    </w:rPr>
  </w:style>
  <w:style w:type="paragraph" w:customStyle="1" w:styleId="116">
    <w:name w:val="xl7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等线" w:hAnsi="等线" w:eastAsia="等线"/>
      <w:color w:val="000000"/>
    </w:rPr>
  </w:style>
  <w:style w:type="paragraph" w:customStyle="1" w:styleId="117">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style>
  <w:style w:type="paragraph" w:customStyle="1" w:styleId="118">
    <w:name w:val="xl7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等线" w:hAnsi="等线" w:eastAsia="等线"/>
      <w:color w:val="000000"/>
    </w:rPr>
  </w:style>
  <w:style w:type="paragraph" w:customStyle="1" w:styleId="119">
    <w:name w:val="xl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120">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style>
  <w:style w:type="paragraph" w:customStyle="1" w:styleId="121">
    <w:name w:val="xl7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等线" w:hAnsi="等线" w:eastAsia="等线"/>
      <w:color w:val="000000"/>
    </w:rPr>
  </w:style>
  <w:style w:type="paragraph" w:customStyle="1" w:styleId="122">
    <w:name w:val="xl7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123">
    <w:name w:val="xl80"/>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rPr>
  </w:style>
  <w:style w:type="paragraph" w:customStyle="1" w:styleId="124">
    <w:name w:val="xl81"/>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125">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b/>
      <w:bCs/>
    </w:rPr>
  </w:style>
  <w:style w:type="paragraph" w:customStyle="1" w:styleId="126">
    <w:name w:val="xl83"/>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黑体" w:hAnsi="黑体" w:eastAsia="黑体"/>
      <w:b/>
      <w:bCs/>
    </w:rPr>
  </w:style>
  <w:style w:type="paragraph" w:customStyle="1" w:styleId="127">
    <w:name w:val="xl84"/>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b/>
      <w:bCs/>
    </w:rPr>
  </w:style>
  <w:style w:type="paragraph" w:customStyle="1" w:styleId="128">
    <w:name w:val="TOC 标题1"/>
    <w:basedOn w:val="2"/>
    <w:next w:val="1"/>
    <w:qFormat/>
    <w:uiPriority w:val="39"/>
    <w:pPr>
      <w:spacing w:before="240" w:after="0" w:line="259" w:lineRule="auto"/>
      <w:jc w:val="left"/>
      <w:outlineLvl w:val="9"/>
    </w:pPr>
    <w:rPr>
      <w:rFonts w:ascii="等线 Light" w:hAnsi="等线 Light" w:eastAsia="等线 Light"/>
      <w:b w:val="0"/>
      <w:color w:val="2F5496"/>
      <w:spacing w:val="0"/>
      <w:kern w:val="0"/>
      <w:szCs w:val="32"/>
    </w:rPr>
  </w:style>
  <w:style w:type="character" w:customStyle="1" w:styleId="129">
    <w:name w:val="font121"/>
    <w:qFormat/>
    <w:uiPriority w:val="0"/>
    <w:rPr>
      <w:rFonts w:hint="eastAsia" w:ascii="宋体" w:hAnsi="宋体" w:eastAsia="宋体" w:cs="宋体"/>
      <w:b/>
      <w:bCs/>
      <w:color w:val="000000"/>
      <w:sz w:val="24"/>
      <w:szCs w:val="24"/>
      <w:u w:val="none"/>
      <w:lang w:val="en-US" w:eastAsia="zh-CN" w:bidi="ar-SA"/>
    </w:rPr>
  </w:style>
  <w:style w:type="character" w:customStyle="1" w:styleId="130">
    <w:name w:val="font71"/>
    <w:qFormat/>
    <w:uiPriority w:val="0"/>
    <w:rPr>
      <w:rFonts w:hint="eastAsia" w:ascii="宋体" w:hAnsi="宋体" w:eastAsia="宋体" w:cs="宋体"/>
      <w:color w:val="000000"/>
      <w:sz w:val="22"/>
      <w:szCs w:val="22"/>
      <w:u w:val="none"/>
      <w:lang w:val="en-US" w:eastAsia="zh-CN" w:bidi="ar-SA"/>
    </w:rPr>
  </w:style>
  <w:style w:type="character" w:customStyle="1" w:styleId="131">
    <w:name w:val="font31"/>
    <w:qFormat/>
    <w:uiPriority w:val="0"/>
    <w:rPr>
      <w:rFonts w:hint="default" w:ascii="Times New Roman" w:hAnsi="Times New Roman" w:cs="Times New Roman"/>
      <w:color w:val="000000"/>
      <w:sz w:val="22"/>
      <w:szCs w:val="22"/>
      <w:u w:val="none"/>
      <w:lang w:val="en-US" w:eastAsia="zh-CN" w:bidi="ar-SA"/>
    </w:rPr>
  </w:style>
  <w:style w:type="character" w:customStyle="1" w:styleId="132">
    <w:name w:val="font51"/>
    <w:qFormat/>
    <w:uiPriority w:val="0"/>
    <w:rPr>
      <w:rFonts w:hint="eastAsia" w:ascii="宋体" w:hAnsi="宋体" w:eastAsia="宋体" w:cs="宋体"/>
      <w:b/>
      <w:bCs/>
      <w:color w:val="000000"/>
      <w:sz w:val="22"/>
      <w:szCs w:val="22"/>
      <w:u w:val="none"/>
      <w:lang w:val="en-US" w:eastAsia="zh-CN" w:bidi="ar-SA"/>
    </w:rPr>
  </w:style>
  <w:style w:type="character" w:customStyle="1" w:styleId="133">
    <w:name w:val="font21"/>
    <w:qFormat/>
    <w:uiPriority w:val="0"/>
    <w:rPr>
      <w:rFonts w:hint="default" w:ascii="Times New Roman" w:hAnsi="Times New Roman" w:cs="Times New Roman"/>
      <w:b/>
      <w:bCs/>
      <w:color w:val="000000"/>
      <w:sz w:val="22"/>
      <w:szCs w:val="22"/>
      <w:u w:val="none"/>
      <w:lang w:val="en-US" w:eastAsia="zh-CN" w:bidi="ar-SA"/>
    </w:rPr>
  </w:style>
  <w:style w:type="character" w:customStyle="1" w:styleId="134">
    <w:name w:val="font41"/>
    <w:qFormat/>
    <w:uiPriority w:val="0"/>
    <w:rPr>
      <w:rFonts w:hint="eastAsia" w:ascii="等线" w:hAnsi="等线" w:eastAsia="等线" w:cs="等线"/>
      <w:color w:val="000000"/>
      <w:sz w:val="22"/>
      <w:szCs w:val="22"/>
      <w:u w:val="none"/>
      <w:lang w:val="en-US" w:eastAsia="zh-CN" w:bidi="ar-SA"/>
    </w:rPr>
  </w:style>
  <w:style w:type="character" w:customStyle="1" w:styleId="135">
    <w:name w:val="font61"/>
    <w:qFormat/>
    <w:uiPriority w:val="0"/>
    <w:rPr>
      <w:rFonts w:hint="default" w:ascii="Times New Roman" w:hAnsi="Times New Roman" w:cs="Times New Roman"/>
      <w:color w:val="000000"/>
      <w:sz w:val="22"/>
      <w:szCs w:val="22"/>
      <w:u w:val="none"/>
      <w:lang w:val="en-US" w:eastAsia="zh-CN" w:bidi="ar-SA"/>
    </w:rPr>
  </w:style>
  <w:style w:type="character" w:customStyle="1" w:styleId="136">
    <w:name w:val="标题 2 字符"/>
    <w:link w:val="3"/>
    <w:qFormat/>
    <w:uiPriority w:val="0"/>
    <w:rPr>
      <w:rFonts w:hint="default" w:ascii="Arial" w:hAnsi="Arial" w:eastAsia="宋体" w:cs="Arial"/>
      <w:b/>
      <w:kern w:val="2"/>
      <w:sz w:val="30"/>
      <w:lang w:val="en-US" w:eastAsia="zh-CN"/>
    </w:rPr>
  </w:style>
  <w:style w:type="character" w:customStyle="1" w:styleId="137">
    <w:name w:val="正文缩进 字符"/>
    <w:link w:val="11"/>
    <w:qFormat/>
    <w:uiPriority w:val="0"/>
    <w:rPr>
      <w:kern w:val="2"/>
      <w:sz w:val="21"/>
    </w:rPr>
  </w:style>
  <w:style w:type="character" w:customStyle="1" w:styleId="138">
    <w:name w:val="纯文本 字符1"/>
    <w:qFormat/>
    <w:uiPriority w:val="0"/>
    <w:rPr>
      <w:rFonts w:ascii="等线" w:hAnsi="Courier New" w:eastAsia="等线" w:cs="Courier New"/>
      <w:kern w:val="2"/>
      <w:sz w:val="21"/>
      <w:szCs w:val="24"/>
      <w:lang w:val="en-US" w:eastAsia="zh-CN"/>
    </w:rPr>
  </w:style>
  <w:style w:type="paragraph" w:customStyle="1" w:styleId="139">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140">
    <w:name w:val="页眉 Char"/>
    <w:qFormat/>
    <w:locked/>
    <w:uiPriority w:val="99"/>
    <w:rPr>
      <w:kern w:val="2"/>
      <w:sz w:val="18"/>
    </w:rPr>
  </w:style>
  <w:style w:type="character" w:customStyle="1" w:styleId="141">
    <w:name w:val="页脚 Char"/>
    <w:qFormat/>
    <w:locked/>
    <w:uiPriority w:val="99"/>
    <w:rPr>
      <w:kern w:val="2"/>
      <w:sz w:val="18"/>
    </w:rPr>
  </w:style>
  <w:style w:type="paragraph" w:customStyle="1" w:styleId="142">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43">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144">
    <w:name w:val="修订6"/>
    <w:hidden/>
    <w:semiHidden/>
    <w:qFormat/>
    <w:uiPriority w:val="99"/>
    <w:rPr>
      <w:rFonts w:ascii="Times New Roman" w:hAnsi="Times New Roman" w:eastAsia="宋体" w:cs="Times New Roman"/>
      <w:kern w:val="2"/>
      <w:sz w:val="21"/>
      <w:szCs w:val="24"/>
      <w:lang w:val="en-US" w:eastAsia="zh-CN" w:bidi="ar-SA"/>
    </w:rPr>
  </w:style>
  <w:style w:type="character" w:customStyle="1" w:styleId="145">
    <w:name w:val="页脚 字符1"/>
    <w:qFormat/>
    <w:uiPriority w:val="99"/>
    <w:rPr>
      <w:kern w:val="2"/>
      <w:sz w:val="18"/>
      <w:szCs w:val="18"/>
    </w:rPr>
  </w:style>
  <w:style w:type="paragraph" w:customStyle="1" w:styleId="146">
    <w:name w:val="列出段落1"/>
    <w:basedOn w:val="1"/>
    <w:qFormat/>
    <w:uiPriority w:val="34"/>
    <w:pPr>
      <w:ind w:firstLine="420" w:firstLineChars="200"/>
    </w:pPr>
  </w:style>
  <w:style w:type="paragraph" w:customStyle="1" w:styleId="147">
    <w:name w:val="列出段落11"/>
    <w:basedOn w:val="1"/>
    <w:qFormat/>
    <w:uiPriority w:val="34"/>
    <w:pPr>
      <w:ind w:firstLine="420" w:firstLineChars="200"/>
    </w:pPr>
  </w:style>
  <w:style w:type="paragraph" w:customStyle="1" w:styleId="148">
    <w:name w:val="WPSOffice手动目录 1"/>
    <w:qFormat/>
    <w:uiPriority w:val="0"/>
    <w:rPr>
      <w:rFonts w:ascii="Times New Roman" w:hAnsi="Times New Roman" w:eastAsia="宋体" w:cs="Times New Roman"/>
      <w:lang w:val="en-US" w:eastAsia="zh-CN" w:bidi="ar-SA"/>
    </w:rPr>
  </w:style>
  <w:style w:type="paragraph" w:customStyle="1" w:styleId="149">
    <w:name w:val="Table Paragraph"/>
    <w:basedOn w:val="1"/>
    <w:qFormat/>
    <w:uiPriority w:val="1"/>
    <w:pPr>
      <w:autoSpaceDE w:val="0"/>
      <w:autoSpaceDN w:val="0"/>
      <w:adjustRightInd w:val="0"/>
    </w:pPr>
    <w:rPr>
      <w:rFonts w:ascii="Times New Roman" w:hAnsi="Times New Roman" w:cs="Times New Roman"/>
    </w:rPr>
  </w:style>
  <w:style w:type="paragraph" w:customStyle="1" w:styleId="150">
    <w:name w:val="修订7"/>
    <w:hidden/>
    <w:unhideWhenUsed/>
    <w:qFormat/>
    <w:uiPriority w:val="99"/>
    <w:rPr>
      <w:rFonts w:ascii="宋体" w:hAnsi="宋体" w:eastAsia="宋体" w:cs="宋体"/>
      <w:sz w:val="24"/>
      <w:szCs w:val="24"/>
      <w:lang w:val="en-US" w:eastAsia="zh-CN" w:bidi="ar-SA"/>
    </w:rPr>
  </w:style>
  <w:style w:type="paragraph" w:customStyle="1" w:styleId="151">
    <w:name w:val="Char Char1 Char"/>
    <w:basedOn w:val="1"/>
    <w:next w:val="1"/>
    <w:qFormat/>
    <w:uiPriority w:val="0"/>
    <w:pPr>
      <w:spacing w:after="160" w:line="240" w:lineRule="exact"/>
    </w:pPr>
    <w:rPr>
      <w:rFonts w:ascii="Calibri" w:hAnsi="Calibri"/>
    </w:rPr>
  </w:style>
  <w:style w:type="character" w:customStyle="1" w:styleId="152">
    <w:name w:val="font11"/>
    <w:basedOn w:val="39"/>
    <w:qFormat/>
    <w:uiPriority w:val="0"/>
    <w:rPr>
      <w:rFonts w:hint="eastAsia" w:ascii="宋体" w:hAnsi="宋体" w:eastAsia="宋体" w:cs="宋体"/>
      <w:b/>
      <w:bCs/>
      <w:color w:val="000000"/>
      <w:sz w:val="28"/>
      <w:szCs w:val="28"/>
      <w:u w:val="none"/>
    </w:rPr>
  </w:style>
  <w:style w:type="paragraph" w:customStyle="1" w:styleId="153">
    <w:name w:val="List Paragraph1"/>
    <w:basedOn w:val="1"/>
    <w:qFormat/>
    <w:uiPriority w:val="99"/>
    <w:pPr>
      <w:ind w:firstLine="420" w:firstLineChars="200"/>
    </w:pPr>
  </w:style>
  <w:style w:type="character" w:customStyle="1" w:styleId="154">
    <w:name w:val="fontstyle01"/>
    <w:basedOn w:val="39"/>
    <w:qFormat/>
    <w:uiPriority w:val="0"/>
    <w:rPr>
      <w:rFonts w:hint="eastAsia" w:ascii="宋体" w:hAnsi="宋体" w:eastAsia="宋体"/>
      <w:color w:val="000000"/>
      <w:sz w:val="18"/>
      <w:szCs w:val="18"/>
    </w:rPr>
  </w:style>
  <w:style w:type="character" w:customStyle="1" w:styleId="155">
    <w:name w:val="正文 Char"/>
    <w:qFormat/>
    <w:uiPriority w:val="0"/>
    <w:rPr>
      <w:rFonts w:ascii="Calibri" w:hAnsi="Calibri" w:eastAsia="仿宋_GB2312"/>
      <w:kern w:val="2"/>
      <w:sz w:val="20"/>
      <w:szCs w:val="28"/>
      <w:lang w:val="en-US" w:eastAsia="zh-CN" w:bidi="ar-SA"/>
    </w:rPr>
  </w:style>
  <w:style w:type="paragraph" w:customStyle="1" w:styleId="156">
    <w:name w:val="null3"/>
    <w:hidden/>
    <w:qFormat/>
    <w:uiPriority w:val="0"/>
    <w:rPr>
      <w:rFonts w:hint="eastAsia" w:asciiTheme="minorHAnsi" w:hAnsiTheme="minorHAnsi" w:eastAsiaTheme="minorEastAsia" w:cstheme="minorBidi"/>
      <w:lang w:val="en-US" w:eastAsia="zh-Hans" w:bidi="ar-SA"/>
    </w:rPr>
  </w:style>
  <w:style w:type="paragraph" w:customStyle="1" w:styleId="157">
    <w:name w:val="节"/>
    <w:basedOn w:val="1"/>
    <w:qFormat/>
    <w:uiPriority w:val="0"/>
    <w:pPr>
      <w:spacing w:line="600" w:lineRule="exact"/>
      <w:ind w:firstLine="560" w:firstLineChars="200"/>
    </w:pPr>
    <w:rPr>
      <w:rFonts w:ascii="黑体" w:hAnsi="黑体" w:eastAsia="黑体" w:cs="Times New Roman"/>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Microsaft</Company>
  <Pages>65</Pages>
  <Words>19313</Words>
  <Characters>20232</Characters>
  <Lines>955</Lines>
  <Paragraphs>579</Paragraphs>
  <TotalTime>1</TotalTime>
  <ScaleCrop>false</ScaleCrop>
  <LinksUpToDate>false</LinksUpToDate>
  <CharactersWithSpaces>20477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2026-05-11T15:04:00Z</dcterms:created>
  <dc:creator>ASD</dc:creator>
  <cp:lastModifiedBy>Harry </cp:lastModifiedBy>
  <cp:lastPrinted>2026-03-18T23:04:00Z</cp:lastPrinted>
  <dcterms:modified xsi:type="dcterms:W3CDTF">2026-06-05T00:42:04Z</dcterms:modified>
  <dc:title>招标编号：YDDLGA—采购—C2008062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F91200CD66CF4CEC86DE632672CE791A_13</vt:lpwstr>
  </property>
  <property fmtid="{D5CDD505-2E9C-101B-9397-08002B2CF9AE}" pid="4" name="KSOTemplateDocerSaveRecord">
    <vt:lpwstr>eyJoZGlkIjoiNTVkMTJjNzc3MzE3MWU1MWQzODUyY2Q2Zjc2NzhmYTkiLCJ1c2VySWQiOiI3NTE5OTQzODgifQ==</vt:lpwstr>
  </property>
</Properties>
</file>